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B0E" w:rsidRPr="00C1468D" w:rsidRDefault="00E71B0E" w:rsidP="00E71B0E">
      <w:pPr>
        <w:spacing w:after="0" w:line="240" w:lineRule="auto"/>
        <w:rPr>
          <w:rFonts w:ascii="Times New Roman" w:eastAsia="Calibri" w:hAnsi="Times New Roman" w:cs="Times New Roman"/>
          <w:i/>
          <w:sz w:val="32"/>
          <w:szCs w:val="32"/>
        </w:rPr>
      </w:pPr>
      <w:r w:rsidRPr="00C1468D">
        <w:rPr>
          <w:rFonts w:ascii="Times New Roman" w:eastAsia="Calibri" w:hAnsi="Times New Roman" w:cs="Times New Roman"/>
          <w:i/>
          <w:sz w:val="32"/>
          <w:szCs w:val="32"/>
        </w:rPr>
        <w:t xml:space="preserve">THE </w:t>
      </w:r>
      <w:r w:rsidRPr="00C1468D">
        <w:rPr>
          <w:rFonts w:ascii="Times New Roman" w:eastAsia="Calibri" w:hAnsi="Times New Roman" w:cs="Times New Roman"/>
          <w:b/>
          <w:i/>
          <w:sz w:val="32"/>
          <w:szCs w:val="32"/>
        </w:rPr>
        <w:t>GASB</w:t>
      </w:r>
      <w:r w:rsidRPr="00C1468D">
        <w:rPr>
          <w:rFonts w:ascii="Times New Roman" w:eastAsia="Calibri" w:hAnsi="Times New Roman" w:cs="Times New Roman"/>
          <w:i/>
          <w:sz w:val="32"/>
          <w:szCs w:val="32"/>
        </w:rPr>
        <w:t xml:space="preserve"> REPORT</w:t>
      </w:r>
    </w:p>
    <w:p w:rsidR="00E71B0E" w:rsidRPr="00C1468D" w:rsidRDefault="00E71B0E" w:rsidP="00E71B0E">
      <w:pPr>
        <w:spacing w:after="0" w:line="240" w:lineRule="auto"/>
        <w:rPr>
          <w:rFonts w:ascii="Times New Roman" w:eastAsia="Calibri" w:hAnsi="Times New Roman" w:cs="Times New Roman"/>
          <w:b/>
          <w:i/>
          <w:sz w:val="32"/>
          <w:szCs w:val="32"/>
        </w:rPr>
      </w:pPr>
      <w:r w:rsidRPr="00C1468D">
        <w:rPr>
          <w:rFonts w:ascii="Times New Roman" w:eastAsia="Calibri" w:hAnsi="Times New Roman" w:cs="Times New Roman"/>
          <w:b/>
          <w:i/>
          <w:sz w:val="32"/>
          <w:szCs w:val="32"/>
        </w:rPr>
        <w:t>Technical Plan</w:t>
      </w:r>
    </w:p>
    <w:p w:rsidR="00E71B0E" w:rsidRPr="00C1468D" w:rsidRDefault="00E71B0E" w:rsidP="00E71B0E">
      <w:pPr>
        <w:spacing w:after="0" w:line="240" w:lineRule="auto"/>
        <w:rPr>
          <w:rFonts w:ascii="Times New Roman" w:eastAsia="Calibri" w:hAnsi="Times New Roman" w:cs="Times New Roman"/>
          <w:i/>
          <w:sz w:val="32"/>
          <w:szCs w:val="32"/>
        </w:rPr>
      </w:pPr>
      <w:r w:rsidRPr="00C1468D">
        <w:rPr>
          <w:rFonts w:ascii="Times New Roman" w:eastAsia="Calibri" w:hAnsi="Times New Roman" w:cs="Times New Roman"/>
          <w:i/>
          <w:sz w:val="32"/>
          <w:szCs w:val="32"/>
        </w:rPr>
        <w:t xml:space="preserve">No. </w:t>
      </w:r>
      <w:r>
        <w:rPr>
          <w:rFonts w:ascii="Times New Roman" w:eastAsia="Calibri" w:hAnsi="Times New Roman" w:cs="Times New Roman"/>
          <w:i/>
          <w:sz w:val="32"/>
          <w:szCs w:val="32"/>
        </w:rPr>
        <w:t>313</w:t>
      </w:r>
      <w:r w:rsidRPr="00C1468D">
        <w:rPr>
          <w:rFonts w:ascii="Times New Roman" w:eastAsia="Calibri" w:hAnsi="Times New Roman" w:cs="Times New Roman"/>
          <w:i/>
          <w:sz w:val="32"/>
          <w:szCs w:val="32"/>
        </w:rPr>
        <w:t xml:space="preserve"> / </w:t>
      </w:r>
      <w:r>
        <w:rPr>
          <w:rFonts w:ascii="Times New Roman" w:eastAsia="Calibri" w:hAnsi="Times New Roman" w:cs="Times New Roman"/>
          <w:i/>
          <w:sz w:val="32"/>
          <w:szCs w:val="32"/>
        </w:rPr>
        <w:t>April 2011</w:t>
      </w:r>
    </w:p>
    <w:p w:rsidR="00E71B0E" w:rsidRPr="00C1468D" w:rsidRDefault="00E71B0E" w:rsidP="00E71B0E">
      <w:pPr>
        <w:spacing w:after="0" w:line="240" w:lineRule="auto"/>
        <w:rPr>
          <w:rFonts w:ascii="Times New Roman" w:eastAsia="Calibri" w:hAnsi="Times New Roman" w:cs="Times New Roman"/>
          <w:i/>
          <w:sz w:val="32"/>
          <w:szCs w:val="32"/>
        </w:rPr>
      </w:pPr>
      <w:r>
        <w:rPr>
          <w:rFonts w:ascii="Times New Roman" w:eastAsia="Calibri" w:hAnsi="Times New Roman" w:cs="Times New Roman"/>
          <w:i/>
          <w:sz w:val="32"/>
          <w:szCs w:val="32"/>
        </w:rPr>
        <w:t>(The GASB Report No. 2</w:t>
      </w:r>
      <w:r>
        <w:rPr>
          <w:rFonts w:ascii="Times New Roman" w:hAnsi="Times New Roman"/>
          <w:i/>
          <w:sz w:val="32"/>
          <w:szCs w:val="32"/>
        </w:rPr>
        <w:t>75</w:t>
      </w:r>
      <w:r w:rsidRPr="00C1468D">
        <w:rPr>
          <w:rFonts w:ascii="Times New Roman" w:eastAsia="Calibri" w:hAnsi="Times New Roman" w:cs="Times New Roman"/>
          <w:i/>
          <w:sz w:val="32"/>
          <w:szCs w:val="32"/>
        </w:rPr>
        <w:t>)</w:t>
      </w:r>
    </w:p>
    <w:p w:rsidR="00E71B0E" w:rsidRPr="00C1468D" w:rsidRDefault="00E71B0E" w:rsidP="00E71B0E">
      <w:pPr>
        <w:spacing w:after="0" w:line="240" w:lineRule="auto"/>
        <w:rPr>
          <w:rFonts w:ascii="Times New Roman" w:eastAsia="Calibri" w:hAnsi="Times New Roman" w:cs="Times New Roman"/>
        </w:rPr>
      </w:pPr>
    </w:p>
    <w:p w:rsidR="00E71B0E" w:rsidRPr="00C1468D" w:rsidRDefault="00E71B0E" w:rsidP="00E71B0E">
      <w:pPr>
        <w:spacing w:after="0" w:line="240" w:lineRule="auto"/>
        <w:rPr>
          <w:rFonts w:ascii="Times New Roman" w:eastAsia="Calibri" w:hAnsi="Times New Roman" w:cs="Times New Roman"/>
        </w:rPr>
      </w:pPr>
    </w:p>
    <w:p w:rsidR="00E71B0E" w:rsidRPr="00C1468D" w:rsidRDefault="00E71B0E" w:rsidP="00E71B0E">
      <w:pPr>
        <w:spacing w:after="0" w:line="240" w:lineRule="auto"/>
        <w:rPr>
          <w:rFonts w:ascii="Times New Roman" w:eastAsia="Calibri" w:hAnsi="Times New Roman" w:cs="Times New Roman"/>
        </w:rPr>
      </w:pPr>
    </w:p>
    <w:p w:rsidR="00E71B0E" w:rsidRPr="00C1468D" w:rsidRDefault="00E71B0E" w:rsidP="00E71B0E">
      <w:pPr>
        <w:spacing w:after="0" w:line="240" w:lineRule="auto"/>
        <w:rPr>
          <w:rFonts w:ascii="Times New Roman" w:eastAsia="Calibri" w:hAnsi="Times New Roman" w:cs="Times New Roman"/>
        </w:rPr>
      </w:pPr>
    </w:p>
    <w:p w:rsidR="00E71B0E" w:rsidRPr="00110C9F" w:rsidRDefault="00E71B0E" w:rsidP="00E71B0E">
      <w:pPr>
        <w:spacing w:after="0" w:line="240" w:lineRule="auto"/>
        <w:rPr>
          <w:rFonts w:ascii="Times New Roman" w:hAnsi="Times New Roman" w:cs="Times New Roman"/>
          <w:b/>
          <w:i/>
          <w:sz w:val="32"/>
          <w:szCs w:val="32"/>
        </w:rPr>
      </w:pPr>
      <w:r w:rsidRPr="00110C9F">
        <w:rPr>
          <w:rFonts w:ascii="Times New Roman" w:hAnsi="Times New Roman" w:cs="Times New Roman"/>
          <w:b/>
          <w:i/>
          <w:sz w:val="32"/>
          <w:szCs w:val="32"/>
        </w:rPr>
        <w:t>GASB Calendar</w:t>
      </w:r>
    </w:p>
    <w:p w:rsidR="00E71B0E" w:rsidRDefault="00E71B0E" w:rsidP="00E71B0E">
      <w:pPr>
        <w:spacing w:after="0" w:line="240" w:lineRule="auto"/>
        <w:rPr>
          <w:rFonts w:ascii="Times New Roman" w:hAnsi="Times New Roman" w:cs="Times New Roman"/>
          <w:sz w:val="24"/>
          <w:szCs w:val="24"/>
        </w:rPr>
      </w:pPr>
    </w:p>
    <w:p w:rsidR="004A2BD0" w:rsidRPr="004A2BD0" w:rsidRDefault="004A2BD0" w:rsidP="004A2BD0">
      <w:pPr>
        <w:spacing w:after="0" w:line="240" w:lineRule="auto"/>
        <w:rPr>
          <w:rFonts w:ascii="Times New Roman" w:hAnsi="Times New Roman" w:cs="Times New Roman"/>
          <w:sz w:val="24"/>
          <w:szCs w:val="24"/>
        </w:rPr>
      </w:pPr>
    </w:p>
    <w:p w:rsidR="004A2BD0" w:rsidRP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The GASB has scheduled the following public meeting dates:</w:t>
      </w:r>
    </w:p>
    <w:p w:rsidR="00BA503D" w:rsidRDefault="00BA503D" w:rsidP="004A2BD0">
      <w:pPr>
        <w:spacing w:after="0" w:line="240" w:lineRule="auto"/>
        <w:rPr>
          <w:rFonts w:ascii="Times New Roman" w:hAnsi="Times New Roman" w:cs="Times New Roman"/>
          <w:sz w:val="24"/>
          <w:szCs w:val="24"/>
        </w:rPr>
      </w:pPr>
    </w:p>
    <w:p w:rsidR="004A2BD0" w:rsidRPr="00BA503D" w:rsidRDefault="004A2BD0" w:rsidP="004A2BD0">
      <w:pPr>
        <w:spacing w:after="0" w:line="240" w:lineRule="auto"/>
        <w:rPr>
          <w:rFonts w:ascii="Times New Roman" w:hAnsi="Times New Roman" w:cs="Times New Roman"/>
          <w:b/>
          <w:i/>
          <w:sz w:val="24"/>
          <w:szCs w:val="24"/>
        </w:rPr>
      </w:pPr>
      <w:r w:rsidRPr="00BA503D">
        <w:rPr>
          <w:rFonts w:ascii="Times New Roman" w:hAnsi="Times New Roman" w:cs="Times New Roman"/>
          <w:b/>
          <w:i/>
          <w:sz w:val="24"/>
          <w:szCs w:val="24"/>
        </w:rPr>
        <w:t>May 23–25, Washington, DC (Hotel Rouge, 1315 16th Street, NW)</w:t>
      </w:r>
    </w:p>
    <w:p w:rsidR="004A2BD0" w:rsidRPr="00BA503D" w:rsidRDefault="004A2BD0" w:rsidP="004A2BD0">
      <w:pPr>
        <w:spacing w:after="0" w:line="240" w:lineRule="auto"/>
        <w:rPr>
          <w:rFonts w:ascii="Times New Roman" w:hAnsi="Times New Roman" w:cs="Times New Roman"/>
          <w:b/>
          <w:i/>
          <w:sz w:val="24"/>
          <w:szCs w:val="24"/>
        </w:rPr>
      </w:pPr>
      <w:r w:rsidRPr="00BA503D">
        <w:rPr>
          <w:rFonts w:ascii="Times New Roman" w:hAnsi="Times New Roman" w:cs="Times New Roman"/>
          <w:b/>
          <w:i/>
          <w:sz w:val="24"/>
          <w:szCs w:val="24"/>
        </w:rPr>
        <w:t>June 27–29</w:t>
      </w:r>
    </w:p>
    <w:p w:rsidR="00BA503D" w:rsidRDefault="00BA503D" w:rsidP="004A2BD0">
      <w:pPr>
        <w:spacing w:after="0" w:line="240" w:lineRule="auto"/>
        <w:rPr>
          <w:rFonts w:ascii="Times New Roman" w:hAnsi="Times New Roman" w:cs="Times New Roman"/>
          <w:sz w:val="24"/>
          <w:szCs w:val="24"/>
        </w:rPr>
      </w:pPr>
    </w:p>
    <w:p w:rsid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 xml:space="preserve">The GASB also is scheduled to meet via </w:t>
      </w:r>
      <w:r w:rsidRPr="00BA503D">
        <w:rPr>
          <w:rFonts w:ascii="Times New Roman" w:hAnsi="Times New Roman" w:cs="Times New Roman"/>
          <w:b/>
          <w:sz w:val="24"/>
          <w:szCs w:val="24"/>
        </w:rPr>
        <w:t>teleconference</w:t>
      </w:r>
      <w:r w:rsidRPr="004A2BD0">
        <w:rPr>
          <w:rFonts w:ascii="Times New Roman" w:hAnsi="Times New Roman" w:cs="Times New Roman"/>
          <w:sz w:val="24"/>
          <w:szCs w:val="24"/>
        </w:rPr>
        <w:t xml:space="preserve"> on </w:t>
      </w:r>
      <w:r w:rsidRPr="00BA503D">
        <w:rPr>
          <w:rFonts w:ascii="Times New Roman" w:hAnsi="Times New Roman" w:cs="Times New Roman"/>
          <w:b/>
          <w:sz w:val="24"/>
          <w:szCs w:val="24"/>
        </w:rPr>
        <w:t>June 14</w:t>
      </w:r>
      <w:r w:rsidRPr="004A2BD0">
        <w:rPr>
          <w:rFonts w:ascii="Times New Roman" w:hAnsi="Times New Roman" w:cs="Times New Roman"/>
          <w:sz w:val="24"/>
          <w:szCs w:val="24"/>
        </w:rPr>
        <w:t xml:space="preserve"> and </w:t>
      </w:r>
      <w:r w:rsidRPr="00BA503D">
        <w:rPr>
          <w:rFonts w:ascii="Times New Roman" w:hAnsi="Times New Roman" w:cs="Times New Roman"/>
          <w:b/>
          <w:sz w:val="24"/>
          <w:szCs w:val="24"/>
        </w:rPr>
        <w:t>July 26.</w:t>
      </w:r>
      <w:r w:rsidRPr="004A2BD0">
        <w:rPr>
          <w:rFonts w:ascii="Times New Roman" w:hAnsi="Times New Roman" w:cs="Times New Roman"/>
          <w:sz w:val="24"/>
          <w:szCs w:val="24"/>
        </w:rPr>
        <w:t xml:space="preserve"> The precise time, as well as the agenda, will be announced approximately two weeks before each meeting. Unless otherwise indicated, all meetings are held at the Financial Accounting Foundation (FAF) offices in Norwalk, Connecticut.</w:t>
      </w:r>
    </w:p>
    <w:p w:rsidR="00A73358" w:rsidRPr="004A2BD0" w:rsidRDefault="00A73358" w:rsidP="004A2BD0">
      <w:pPr>
        <w:spacing w:after="0" w:line="240" w:lineRule="auto"/>
        <w:rPr>
          <w:rFonts w:ascii="Times New Roman" w:hAnsi="Times New Roman" w:cs="Times New Roman"/>
          <w:sz w:val="24"/>
          <w:szCs w:val="24"/>
        </w:rPr>
      </w:pPr>
    </w:p>
    <w:p w:rsid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In addition, the FAF Trustees will meet on May 25 in Washington, DC.</w:t>
      </w:r>
    </w:p>
    <w:p w:rsidR="00A73358" w:rsidRPr="004A2BD0" w:rsidRDefault="00A73358" w:rsidP="004A2BD0">
      <w:pPr>
        <w:spacing w:after="0" w:line="240" w:lineRule="auto"/>
        <w:rPr>
          <w:rFonts w:ascii="Times New Roman" w:hAnsi="Times New Roman" w:cs="Times New Roman"/>
          <w:sz w:val="24"/>
          <w:szCs w:val="24"/>
        </w:rPr>
      </w:pPr>
    </w:p>
    <w:p w:rsid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Finally, the GASB will meet with the Governmental Accounting Standards Advisory Council on June 29–30 in Norwalk.</w:t>
      </w:r>
    </w:p>
    <w:p w:rsidR="00A73358" w:rsidRPr="004A2BD0" w:rsidRDefault="00A73358" w:rsidP="004A2BD0">
      <w:pPr>
        <w:spacing w:after="0" w:line="240" w:lineRule="auto"/>
        <w:rPr>
          <w:rFonts w:ascii="Times New Roman" w:hAnsi="Times New Roman" w:cs="Times New Roman"/>
          <w:sz w:val="24"/>
          <w:szCs w:val="24"/>
        </w:rPr>
      </w:pPr>
    </w:p>
    <w:p w:rsid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Please check the GASB website at www.gasb.org three working days prior to meetings to verify the final agenda.</w:t>
      </w:r>
    </w:p>
    <w:p w:rsidR="00A73358" w:rsidRPr="004A2BD0" w:rsidRDefault="00A73358" w:rsidP="004A2BD0">
      <w:pPr>
        <w:spacing w:after="0" w:line="240" w:lineRule="auto"/>
        <w:rPr>
          <w:rFonts w:ascii="Times New Roman" w:hAnsi="Times New Roman" w:cs="Times New Roman"/>
          <w:sz w:val="24"/>
          <w:szCs w:val="24"/>
        </w:rPr>
      </w:pPr>
    </w:p>
    <w:p w:rsidR="004A2BD0" w:rsidRP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 xml:space="preserve">If you plan to attend </w:t>
      </w:r>
      <w:r w:rsidRPr="00BA503D">
        <w:rPr>
          <w:rFonts w:ascii="Times New Roman" w:hAnsi="Times New Roman" w:cs="Times New Roman"/>
          <w:i/>
          <w:sz w:val="24"/>
          <w:szCs w:val="24"/>
        </w:rPr>
        <w:t>any</w:t>
      </w:r>
      <w:r w:rsidRPr="004A2BD0">
        <w:rPr>
          <w:rFonts w:ascii="Times New Roman" w:hAnsi="Times New Roman" w:cs="Times New Roman"/>
          <w:sz w:val="24"/>
          <w:szCs w:val="24"/>
        </w:rPr>
        <w:t xml:space="preserve"> meetings, please notify Ragan Vincent at (203) 956-5372 or via email at rpvincent@gasb.org. In addition, due to the FAF’s security procedures, visitors to the Norwalk meetings are required to go to www.gasb.org to register at least 24 hours before each meeting they are planning to attend.</w:t>
      </w:r>
    </w:p>
    <w:p w:rsidR="004A2BD0" w:rsidRPr="004A2BD0" w:rsidRDefault="004A2BD0" w:rsidP="004A2BD0">
      <w:pPr>
        <w:spacing w:after="0" w:line="240" w:lineRule="auto"/>
        <w:rPr>
          <w:rFonts w:ascii="Times New Roman" w:hAnsi="Times New Roman" w:cs="Times New Roman"/>
          <w:sz w:val="24"/>
          <w:szCs w:val="24"/>
        </w:rPr>
      </w:pPr>
    </w:p>
    <w:p w:rsidR="004A2BD0" w:rsidRPr="004A2BD0" w:rsidRDefault="004A2BD0" w:rsidP="004A2BD0">
      <w:pPr>
        <w:spacing w:after="0" w:line="240" w:lineRule="auto"/>
        <w:rPr>
          <w:rFonts w:ascii="Times New Roman" w:hAnsi="Times New Roman" w:cs="Times New Roman"/>
          <w:sz w:val="24"/>
          <w:szCs w:val="24"/>
        </w:rPr>
      </w:pPr>
    </w:p>
    <w:p w:rsidR="004A2BD0" w:rsidRPr="004A2BD0" w:rsidRDefault="004A2BD0" w:rsidP="004A2BD0">
      <w:pPr>
        <w:spacing w:after="0" w:line="240" w:lineRule="auto"/>
        <w:rPr>
          <w:rFonts w:ascii="Times New Roman" w:hAnsi="Times New Roman" w:cs="Times New Roman"/>
          <w:sz w:val="24"/>
          <w:szCs w:val="24"/>
        </w:rPr>
      </w:pPr>
    </w:p>
    <w:p w:rsidR="004A2BD0" w:rsidRPr="004A2BD0" w:rsidRDefault="004A2BD0" w:rsidP="004A2BD0">
      <w:pPr>
        <w:spacing w:after="0" w:line="240" w:lineRule="auto"/>
        <w:rPr>
          <w:rFonts w:ascii="Times New Roman" w:hAnsi="Times New Roman" w:cs="Times New Roman"/>
          <w:sz w:val="24"/>
          <w:szCs w:val="24"/>
        </w:rPr>
      </w:pPr>
    </w:p>
    <w:p w:rsidR="004A2BD0" w:rsidRPr="004A2BD0" w:rsidRDefault="004A2BD0" w:rsidP="004A2BD0">
      <w:pPr>
        <w:spacing w:after="0" w:line="240" w:lineRule="auto"/>
        <w:rPr>
          <w:rFonts w:ascii="Times New Roman" w:hAnsi="Times New Roman" w:cs="Times New Roman"/>
          <w:sz w:val="24"/>
          <w:szCs w:val="24"/>
        </w:rPr>
      </w:pPr>
    </w:p>
    <w:p w:rsidR="004A2BD0" w:rsidRPr="004A2BD0" w:rsidRDefault="004A2BD0" w:rsidP="004A2BD0">
      <w:pPr>
        <w:spacing w:after="0" w:line="240" w:lineRule="auto"/>
        <w:rPr>
          <w:rFonts w:ascii="Times New Roman" w:hAnsi="Times New Roman" w:cs="Times New Roman"/>
          <w:sz w:val="24"/>
          <w:szCs w:val="24"/>
        </w:rPr>
      </w:pPr>
    </w:p>
    <w:p w:rsidR="004A2BD0" w:rsidRPr="00BA503D" w:rsidRDefault="004A2BD0" w:rsidP="004A2BD0">
      <w:pPr>
        <w:spacing w:after="0" w:line="240" w:lineRule="auto"/>
        <w:rPr>
          <w:rFonts w:ascii="Times New Roman" w:hAnsi="Times New Roman" w:cs="Times New Roman"/>
          <w:b/>
          <w:i/>
          <w:sz w:val="32"/>
          <w:szCs w:val="32"/>
        </w:rPr>
      </w:pPr>
      <w:r w:rsidRPr="00BA503D">
        <w:rPr>
          <w:rFonts w:ascii="Times New Roman" w:hAnsi="Times New Roman" w:cs="Times New Roman"/>
          <w:b/>
          <w:i/>
          <w:sz w:val="32"/>
          <w:szCs w:val="32"/>
        </w:rPr>
        <w:t>Project on Financial Guarantees Added to Current Technical Agenda</w:t>
      </w:r>
    </w:p>
    <w:p w:rsidR="004A2BD0" w:rsidRPr="004A2BD0" w:rsidRDefault="004A2BD0" w:rsidP="004A2BD0">
      <w:pPr>
        <w:spacing w:after="0" w:line="240" w:lineRule="auto"/>
        <w:rPr>
          <w:rFonts w:ascii="Times New Roman" w:hAnsi="Times New Roman" w:cs="Times New Roman"/>
          <w:sz w:val="24"/>
          <w:szCs w:val="24"/>
        </w:rPr>
      </w:pPr>
    </w:p>
    <w:p w:rsid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 xml:space="preserve">In April, after consultation with the Governmental Accounting Standards Advisory Council and the Board, GASB Chairman Robert Attmore moved an item addressing financial guarantees from the research agenda to the current technical agenda. Projects on the current technical </w:t>
      </w:r>
      <w:r w:rsidRPr="004A2BD0">
        <w:rPr>
          <w:rFonts w:ascii="Times New Roman" w:hAnsi="Times New Roman" w:cs="Times New Roman"/>
          <w:sz w:val="24"/>
          <w:szCs w:val="24"/>
        </w:rPr>
        <w:lastRenderedPageBreak/>
        <w:t>agenda are those for which active deliberations by the Board are expected to take place during the coming year.</w:t>
      </w:r>
    </w:p>
    <w:p w:rsidR="00A73358" w:rsidRPr="004A2BD0" w:rsidRDefault="00A73358" w:rsidP="004A2BD0">
      <w:pPr>
        <w:spacing w:after="0" w:line="240" w:lineRule="auto"/>
        <w:rPr>
          <w:rFonts w:ascii="Times New Roman" w:hAnsi="Times New Roman" w:cs="Times New Roman"/>
          <w:sz w:val="24"/>
          <w:szCs w:val="24"/>
        </w:rPr>
      </w:pPr>
    </w:p>
    <w:p w:rsid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The objective of this project is to establish additional guidance regarding recognition and disclosure of financial guarantees made and received by state and local governments. Governments typically provide several types of financial guarantees, which are primarily associated with commitments to ensure payments on debt issued by other entities. Financial guarantees represent potential claims on a government’s resources when it is the provider of a guarantee. This project will address what related disclosures should be required and when the guarantor would recognize a liability.</w:t>
      </w:r>
    </w:p>
    <w:p w:rsidR="00A73358" w:rsidRPr="004A2BD0" w:rsidRDefault="00A73358" w:rsidP="004A2BD0">
      <w:pPr>
        <w:spacing w:after="0" w:line="240" w:lineRule="auto"/>
        <w:rPr>
          <w:rFonts w:ascii="Times New Roman" w:hAnsi="Times New Roman" w:cs="Times New Roman"/>
          <w:sz w:val="24"/>
          <w:szCs w:val="24"/>
        </w:rPr>
      </w:pPr>
    </w:p>
    <w:p w:rsidR="004A2BD0" w:rsidRDefault="004A2BD0" w:rsidP="004A2BD0">
      <w:pPr>
        <w:spacing w:after="0" w:line="240" w:lineRule="auto"/>
        <w:rPr>
          <w:rFonts w:ascii="Times New Roman" w:hAnsi="Times New Roman" w:cs="Times New Roman"/>
          <w:i/>
          <w:sz w:val="24"/>
          <w:szCs w:val="24"/>
        </w:rPr>
      </w:pPr>
      <w:r w:rsidRPr="004A2BD0">
        <w:rPr>
          <w:rFonts w:ascii="Times New Roman" w:hAnsi="Times New Roman" w:cs="Times New Roman"/>
          <w:sz w:val="24"/>
          <w:szCs w:val="24"/>
        </w:rPr>
        <w:t xml:space="preserve">The current economic climate has given rise to a level of financial stress that has impacted many entities and resulted in financial guarantees made or received in the past now coming to light. To the extent that it exists, related accounting and financial reporting guidance for such transactions derives from a variety of sources, including GASB Statements No. 53, </w:t>
      </w:r>
      <w:r w:rsidRPr="00BA503D">
        <w:rPr>
          <w:rFonts w:ascii="Times New Roman" w:hAnsi="Times New Roman" w:cs="Times New Roman"/>
          <w:i/>
          <w:sz w:val="24"/>
          <w:szCs w:val="24"/>
        </w:rPr>
        <w:t>Accounting and Financial Reporting for Derivative Instruments;</w:t>
      </w:r>
      <w:r w:rsidRPr="004A2BD0">
        <w:rPr>
          <w:rFonts w:ascii="Times New Roman" w:hAnsi="Times New Roman" w:cs="Times New Roman"/>
          <w:sz w:val="24"/>
          <w:szCs w:val="24"/>
        </w:rPr>
        <w:t xml:space="preserve"> No. 60, </w:t>
      </w:r>
      <w:r w:rsidRPr="00BA503D">
        <w:rPr>
          <w:rFonts w:ascii="Times New Roman" w:hAnsi="Times New Roman" w:cs="Times New Roman"/>
          <w:i/>
          <w:sz w:val="24"/>
          <w:szCs w:val="24"/>
        </w:rPr>
        <w:t>Accounting and Financial Reporting for Service Concession Arrangements;</w:t>
      </w:r>
      <w:r w:rsidRPr="004A2BD0">
        <w:rPr>
          <w:rFonts w:ascii="Times New Roman" w:hAnsi="Times New Roman" w:cs="Times New Roman"/>
          <w:sz w:val="24"/>
          <w:szCs w:val="24"/>
        </w:rPr>
        <w:t xml:space="preserve"> and No. 62, </w:t>
      </w:r>
      <w:r w:rsidRPr="00BA503D">
        <w:rPr>
          <w:rFonts w:ascii="Times New Roman" w:hAnsi="Times New Roman" w:cs="Times New Roman"/>
          <w:i/>
          <w:sz w:val="24"/>
          <w:szCs w:val="24"/>
        </w:rPr>
        <w:t>Codification of Accounting and Financial Reporting Guidance Contained in Pre-November 30, 1989 FASB and AICPA Pronouncements.</w:t>
      </w:r>
    </w:p>
    <w:p w:rsidR="00A73358" w:rsidRPr="00BA503D" w:rsidRDefault="00A73358" w:rsidP="004A2BD0">
      <w:pPr>
        <w:spacing w:after="0" w:line="240" w:lineRule="auto"/>
        <w:rPr>
          <w:rFonts w:ascii="Times New Roman" w:hAnsi="Times New Roman" w:cs="Times New Roman"/>
          <w:i/>
          <w:sz w:val="24"/>
          <w:szCs w:val="24"/>
        </w:rPr>
      </w:pPr>
    </w:p>
    <w:p w:rsid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Due to the increased importance of guarantees and the potential for them to result in claims, the need for clear and consistent recognition and disclosure guidance has become more pressing.</w:t>
      </w:r>
    </w:p>
    <w:p w:rsidR="00A73358" w:rsidRPr="004A2BD0" w:rsidRDefault="00A73358" w:rsidP="004A2BD0">
      <w:pPr>
        <w:spacing w:after="0" w:line="240" w:lineRule="auto"/>
        <w:rPr>
          <w:rFonts w:ascii="Times New Roman" w:hAnsi="Times New Roman" w:cs="Times New Roman"/>
          <w:sz w:val="24"/>
          <w:szCs w:val="24"/>
        </w:rPr>
      </w:pPr>
    </w:p>
    <w:p w:rsid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Research conducted by the GASB indicates that numerous types of state and local government entities issue and receive financial guarantees, including general purpose governments, special-purpose governments, and governmental entities that engage in business-type activities. Ultimately, the project is designed to result in more useful information being available to users of governmental financial information, which would enable them to recognize and understand financial guarantees that are issued and received by state and local governments.</w:t>
      </w:r>
    </w:p>
    <w:p w:rsidR="00A73358" w:rsidRPr="004A2BD0" w:rsidRDefault="00A73358" w:rsidP="004A2BD0">
      <w:pPr>
        <w:spacing w:after="0" w:line="240" w:lineRule="auto"/>
        <w:rPr>
          <w:rFonts w:ascii="Times New Roman" w:hAnsi="Times New Roman" w:cs="Times New Roman"/>
          <w:sz w:val="24"/>
          <w:szCs w:val="24"/>
        </w:rPr>
      </w:pPr>
    </w:p>
    <w:p w:rsidR="004A2BD0" w:rsidRP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Board deliberations on the project are scheduled to begin with a discussion of recognition issues in August. Issuance of an Exposure Draft is scheduled to take place in June 2012.</w:t>
      </w:r>
    </w:p>
    <w:p w:rsidR="004A2BD0" w:rsidRPr="004A2BD0" w:rsidRDefault="004A2BD0" w:rsidP="004A2BD0">
      <w:pPr>
        <w:spacing w:after="0" w:line="240" w:lineRule="auto"/>
        <w:rPr>
          <w:rFonts w:ascii="Times New Roman" w:hAnsi="Times New Roman" w:cs="Times New Roman"/>
          <w:sz w:val="24"/>
          <w:szCs w:val="24"/>
        </w:rPr>
      </w:pPr>
    </w:p>
    <w:p w:rsidR="004A2BD0" w:rsidRPr="004A2BD0" w:rsidRDefault="004A2BD0" w:rsidP="004A2BD0">
      <w:pPr>
        <w:spacing w:after="0" w:line="240" w:lineRule="auto"/>
        <w:rPr>
          <w:rFonts w:ascii="Times New Roman" w:hAnsi="Times New Roman" w:cs="Times New Roman"/>
          <w:sz w:val="24"/>
          <w:szCs w:val="24"/>
        </w:rPr>
      </w:pPr>
    </w:p>
    <w:p w:rsidR="004A2BD0" w:rsidRPr="004A2BD0" w:rsidRDefault="004A2BD0" w:rsidP="004A2BD0">
      <w:pPr>
        <w:spacing w:after="0" w:line="240" w:lineRule="auto"/>
        <w:rPr>
          <w:rFonts w:ascii="Times New Roman" w:hAnsi="Times New Roman" w:cs="Times New Roman"/>
          <w:sz w:val="24"/>
          <w:szCs w:val="24"/>
        </w:rPr>
      </w:pPr>
    </w:p>
    <w:p w:rsidR="004A2BD0" w:rsidRPr="004A2BD0" w:rsidRDefault="004A2BD0" w:rsidP="004A2BD0">
      <w:pPr>
        <w:spacing w:after="0" w:line="240" w:lineRule="auto"/>
        <w:rPr>
          <w:rFonts w:ascii="Times New Roman" w:hAnsi="Times New Roman" w:cs="Times New Roman"/>
          <w:sz w:val="24"/>
          <w:szCs w:val="24"/>
        </w:rPr>
      </w:pPr>
    </w:p>
    <w:p w:rsidR="004A2BD0" w:rsidRPr="004A2BD0" w:rsidRDefault="004A2BD0" w:rsidP="004A2BD0">
      <w:pPr>
        <w:spacing w:after="0" w:line="240" w:lineRule="auto"/>
        <w:rPr>
          <w:rFonts w:ascii="Times New Roman" w:hAnsi="Times New Roman" w:cs="Times New Roman"/>
          <w:sz w:val="24"/>
          <w:szCs w:val="24"/>
        </w:rPr>
      </w:pPr>
    </w:p>
    <w:p w:rsidR="004A2BD0" w:rsidRPr="004A2BD0" w:rsidRDefault="004A2BD0" w:rsidP="004A2BD0">
      <w:pPr>
        <w:spacing w:after="0" w:line="240" w:lineRule="auto"/>
        <w:rPr>
          <w:rFonts w:ascii="Times New Roman" w:hAnsi="Times New Roman" w:cs="Times New Roman"/>
          <w:sz w:val="24"/>
          <w:szCs w:val="24"/>
        </w:rPr>
      </w:pPr>
    </w:p>
    <w:p w:rsidR="004A2BD0" w:rsidRPr="00BA503D" w:rsidRDefault="004A2BD0" w:rsidP="004A2BD0">
      <w:pPr>
        <w:spacing w:after="0" w:line="240" w:lineRule="auto"/>
        <w:rPr>
          <w:rFonts w:ascii="Times New Roman" w:hAnsi="Times New Roman" w:cs="Times New Roman"/>
          <w:b/>
          <w:i/>
          <w:sz w:val="32"/>
          <w:szCs w:val="32"/>
        </w:rPr>
      </w:pPr>
      <w:r w:rsidRPr="00BA503D">
        <w:rPr>
          <w:rFonts w:ascii="Times New Roman" w:hAnsi="Times New Roman" w:cs="Times New Roman"/>
          <w:b/>
          <w:i/>
          <w:sz w:val="32"/>
          <w:szCs w:val="32"/>
        </w:rPr>
        <w:t>Board Meeting Summary</w:t>
      </w:r>
    </w:p>
    <w:p w:rsidR="00BA503D" w:rsidRDefault="00BA503D" w:rsidP="004A2BD0">
      <w:pPr>
        <w:spacing w:after="0" w:line="240" w:lineRule="auto"/>
        <w:rPr>
          <w:rFonts w:ascii="Times New Roman" w:hAnsi="Times New Roman" w:cs="Times New Roman"/>
          <w:sz w:val="24"/>
          <w:szCs w:val="24"/>
        </w:rPr>
      </w:pPr>
    </w:p>
    <w:p w:rsid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The GASB met via teleconference on March 22 to review and consider for clearance a proposed Exposure Draft of the American Institute of Certified Public Accountants Audit and Accounting Guide and to discuss issues associated with its projects on pension accounting and financial reporting and the statement of net position.</w:t>
      </w:r>
    </w:p>
    <w:p w:rsidR="00A73358" w:rsidRPr="004A2BD0" w:rsidRDefault="00A73358" w:rsidP="004A2BD0">
      <w:pPr>
        <w:spacing w:after="0" w:line="240" w:lineRule="auto"/>
        <w:rPr>
          <w:rFonts w:ascii="Times New Roman" w:hAnsi="Times New Roman" w:cs="Times New Roman"/>
          <w:sz w:val="24"/>
          <w:szCs w:val="24"/>
        </w:rPr>
      </w:pPr>
    </w:p>
    <w:p w:rsid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 xml:space="preserve">The Board also held a public meeting at its office in Norwalk, Connecticut, on April 12–14 to discuss issues associated with its projects on pension accounting and financial reporting, </w:t>
      </w:r>
      <w:r w:rsidRPr="004A2BD0">
        <w:rPr>
          <w:rFonts w:ascii="Times New Roman" w:hAnsi="Times New Roman" w:cs="Times New Roman"/>
          <w:sz w:val="24"/>
          <w:szCs w:val="24"/>
        </w:rPr>
        <w:lastRenderedPageBreak/>
        <w:t>recognition and measurement attributes under the conceptual framework, the statement of net position, deferred inflows of</w:t>
      </w:r>
      <w:r w:rsidR="00BA503D">
        <w:rPr>
          <w:rFonts w:ascii="Times New Roman" w:hAnsi="Times New Roman" w:cs="Times New Roman"/>
          <w:sz w:val="24"/>
          <w:szCs w:val="24"/>
        </w:rPr>
        <w:t xml:space="preserve"> </w:t>
      </w:r>
      <w:r w:rsidRPr="004A2BD0">
        <w:rPr>
          <w:rFonts w:ascii="Times New Roman" w:hAnsi="Times New Roman" w:cs="Times New Roman"/>
          <w:sz w:val="24"/>
          <w:szCs w:val="24"/>
        </w:rPr>
        <w:t>resources and deferred outflows of resources, fiscal sustainability as it relates to economic condition reporting, and the technical plan for the second third of 2011.</w:t>
      </w:r>
    </w:p>
    <w:p w:rsidR="00A73358" w:rsidRPr="004A2BD0" w:rsidRDefault="00A73358" w:rsidP="004A2BD0">
      <w:pPr>
        <w:spacing w:after="0" w:line="240" w:lineRule="auto"/>
        <w:rPr>
          <w:rFonts w:ascii="Times New Roman" w:hAnsi="Times New Roman" w:cs="Times New Roman"/>
          <w:sz w:val="24"/>
          <w:szCs w:val="24"/>
        </w:rPr>
      </w:pPr>
    </w:p>
    <w:p w:rsidR="004A2BD0" w:rsidRP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Finally, the Board met with its task force on fiscal sustainability as it relates to economic condition reporting on April 14.</w:t>
      </w:r>
    </w:p>
    <w:p w:rsidR="004A2BD0" w:rsidRPr="004A2BD0" w:rsidRDefault="004A2BD0" w:rsidP="004A2BD0">
      <w:pPr>
        <w:spacing w:after="0" w:line="240" w:lineRule="auto"/>
        <w:rPr>
          <w:rFonts w:ascii="Times New Roman" w:hAnsi="Times New Roman" w:cs="Times New Roman"/>
          <w:sz w:val="24"/>
          <w:szCs w:val="24"/>
        </w:rPr>
      </w:pPr>
    </w:p>
    <w:p w:rsidR="004A2BD0" w:rsidRPr="00BA503D" w:rsidRDefault="004A2BD0" w:rsidP="004A2BD0">
      <w:pPr>
        <w:spacing w:after="0" w:line="240" w:lineRule="auto"/>
        <w:rPr>
          <w:rFonts w:ascii="Times New Roman" w:hAnsi="Times New Roman" w:cs="Times New Roman"/>
          <w:b/>
          <w:i/>
          <w:sz w:val="24"/>
          <w:szCs w:val="24"/>
        </w:rPr>
      </w:pPr>
      <w:r w:rsidRPr="00BA503D">
        <w:rPr>
          <w:rFonts w:ascii="Times New Roman" w:hAnsi="Times New Roman" w:cs="Times New Roman"/>
          <w:b/>
          <w:i/>
          <w:sz w:val="24"/>
          <w:szCs w:val="24"/>
        </w:rPr>
        <w:t>AICPA Health Care Guide</w:t>
      </w:r>
    </w:p>
    <w:p w:rsidR="004A2BD0" w:rsidRP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 xml:space="preserve">The Board reviewed and, subject to minor revisions and clarifications, cleared chapter 15 of the working draft of the proposed AICPA Audit and Accounting Guide, </w:t>
      </w:r>
      <w:r w:rsidRPr="00BA503D">
        <w:rPr>
          <w:rFonts w:ascii="Times New Roman" w:hAnsi="Times New Roman" w:cs="Times New Roman"/>
          <w:i/>
          <w:sz w:val="24"/>
          <w:szCs w:val="24"/>
        </w:rPr>
        <w:t>Health Care Entities.</w:t>
      </w:r>
      <w:r w:rsidRPr="004A2BD0">
        <w:rPr>
          <w:rFonts w:ascii="Times New Roman" w:hAnsi="Times New Roman" w:cs="Times New Roman"/>
          <w:sz w:val="24"/>
          <w:szCs w:val="24"/>
        </w:rPr>
        <w:t xml:space="preserve"> (Please</w:t>
      </w:r>
      <w:r w:rsidR="00BA503D">
        <w:rPr>
          <w:rFonts w:ascii="Times New Roman" w:hAnsi="Times New Roman" w:cs="Times New Roman"/>
          <w:sz w:val="24"/>
          <w:szCs w:val="24"/>
        </w:rPr>
        <w:t xml:space="preserve"> see the related story on page X</w:t>
      </w:r>
      <w:r w:rsidRPr="004A2BD0">
        <w:rPr>
          <w:rFonts w:ascii="Times New Roman" w:hAnsi="Times New Roman" w:cs="Times New Roman"/>
          <w:sz w:val="24"/>
          <w:szCs w:val="24"/>
        </w:rPr>
        <w:t>.)</w:t>
      </w:r>
    </w:p>
    <w:p w:rsidR="004A2BD0" w:rsidRPr="004A2BD0" w:rsidRDefault="004A2BD0" w:rsidP="004A2BD0">
      <w:pPr>
        <w:spacing w:after="0" w:line="240" w:lineRule="auto"/>
        <w:rPr>
          <w:rFonts w:ascii="Times New Roman" w:hAnsi="Times New Roman" w:cs="Times New Roman"/>
          <w:sz w:val="24"/>
          <w:szCs w:val="24"/>
        </w:rPr>
      </w:pPr>
    </w:p>
    <w:p w:rsidR="004A2BD0" w:rsidRPr="00BA503D" w:rsidRDefault="004A2BD0" w:rsidP="004A2BD0">
      <w:pPr>
        <w:spacing w:after="0" w:line="240" w:lineRule="auto"/>
        <w:rPr>
          <w:rFonts w:ascii="Times New Roman" w:hAnsi="Times New Roman" w:cs="Times New Roman"/>
          <w:b/>
          <w:i/>
          <w:sz w:val="24"/>
          <w:szCs w:val="24"/>
        </w:rPr>
      </w:pPr>
      <w:r w:rsidRPr="00BA503D">
        <w:rPr>
          <w:rFonts w:ascii="Times New Roman" w:hAnsi="Times New Roman" w:cs="Times New Roman"/>
          <w:b/>
          <w:i/>
          <w:sz w:val="24"/>
          <w:szCs w:val="24"/>
        </w:rPr>
        <w:t xml:space="preserve">Pension Accounting and Financial Reporting </w:t>
      </w:r>
    </w:p>
    <w:p w:rsid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The Board discussed nine topics associated with the pension accounting and financial reporting project at the March teleconference and the April meeting. At the March meeting, the Board discussed certain issues related to accounting for a nonemployer entity’s involvement with cost-sharing arrangements, accounting issues related to an employer’s liability to a pension plan for contributions, certain disclosures by sole and agent employers regarding plan net assets, and follow-up issues related to accounting for defined contribution pension benefits. At the April meeting, the Board continued its discussion of issues related to accounting for a nonemployer entity’s involvement with cost-sharing arrangements and discussed the attribution of a net pension liability and related measures for pension benefits provided through a cost-sharing defined benefit pension plan to employers and to nonemployer governments that have a legal responsibility for a portion of total contributions; accounting for the role of nonemployer entities that have a legal requirement to contribute to a defined benefit single-employer or agent multiple-employer pension plan; note disclosures and required supplementary information for governments that would be required to recognize a net pension liability for a cost-sharing pension arrangement; certain note disclosure and required supplementary information requirements for agent pension plans; and transition and effective date provisions. In addition, the Board reviewed draft Standards sections for the employer and plan Exposure Drafts.</w:t>
      </w:r>
    </w:p>
    <w:p w:rsidR="00A73358" w:rsidRPr="004A2BD0" w:rsidRDefault="00A73358" w:rsidP="004A2BD0">
      <w:pPr>
        <w:spacing w:after="0" w:line="240" w:lineRule="auto"/>
        <w:rPr>
          <w:rFonts w:ascii="Times New Roman" w:hAnsi="Times New Roman" w:cs="Times New Roman"/>
          <w:sz w:val="24"/>
          <w:szCs w:val="24"/>
        </w:rPr>
      </w:pPr>
    </w:p>
    <w:p w:rsid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 xml:space="preserve">On the topic of a nonemployer entity’s responsibility to contribute to a cost-sharing defined benefit pension plan, the Board tentatively agreed that the role of the nonemployer entity that has a legal responsibility for a portion of total contributions to satisfy the total liability of the employers is tentatively viewed by the Board as support or assistance to the employers that results in an assumption by the nonemployer entity of a portion of each employer’s net pension liability and related measures. The Board specifically excluded from this approach nonemployer entities whose requirements to contribute are contingent, for example, in circumstances in which there is a requirement to contribute amounts collected under a specific tax assessment. The Board further tentatively agreed that the general approach discussed in Statement No. 24, </w:t>
      </w:r>
      <w:r w:rsidRPr="00BA503D">
        <w:rPr>
          <w:rFonts w:ascii="Times New Roman" w:hAnsi="Times New Roman" w:cs="Times New Roman"/>
          <w:i/>
          <w:sz w:val="24"/>
          <w:szCs w:val="24"/>
        </w:rPr>
        <w:t>Accounting and Financial Reporting for Certain Grants and Other Financial Assistance,</w:t>
      </w:r>
      <w:r w:rsidRPr="004A2BD0">
        <w:rPr>
          <w:rFonts w:ascii="Times New Roman" w:hAnsi="Times New Roman" w:cs="Times New Roman"/>
          <w:sz w:val="24"/>
          <w:szCs w:val="24"/>
        </w:rPr>
        <w:t xml:space="preserve"> which results in employers recognizing expense in an amount that reflects the total cost of compensation, would continue to be applied to cost-sharing employers.</w:t>
      </w:r>
    </w:p>
    <w:p w:rsidR="00A73358" w:rsidRPr="004A2BD0" w:rsidRDefault="00A73358" w:rsidP="004A2BD0">
      <w:pPr>
        <w:spacing w:after="0" w:line="240" w:lineRule="auto"/>
        <w:rPr>
          <w:rFonts w:ascii="Times New Roman" w:hAnsi="Times New Roman" w:cs="Times New Roman"/>
          <w:sz w:val="24"/>
          <w:szCs w:val="24"/>
        </w:rPr>
      </w:pPr>
    </w:p>
    <w:p w:rsid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 xml:space="preserve">With respect to note disclosures about plan net assets for sole and agent employers, the Board tentatively agreed that if a plan financial report that includes disclosure about plan net assets is </w:t>
      </w:r>
      <w:r w:rsidRPr="004A2BD0">
        <w:rPr>
          <w:rFonts w:ascii="Times New Roman" w:hAnsi="Times New Roman" w:cs="Times New Roman"/>
          <w:sz w:val="24"/>
          <w:szCs w:val="24"/>
        </w:rPr>
        <w:lastRenderedPageBreak/>
        <w:t>publicly available, either as a stand-alone financial statement or included as a fiduciary fund of another entity, the employer may refer to the plan’s financial report for disclosures about plan net assets. In this situation, the Board tentatively agreed that the employer also would be required to disclose that the components of plan net assets and changes in plan net assets have been determined on the same basis as is used in financial reporting by the plan and to include a brief summary of the plan’s basis of accounting, including the policies with respect to benefits and refunds paid, and the valuation of investments. The Board also tentatively agreed that if significant changes have occurred that would indicate that the disclosures included in the plan’s financial report generally would not reflect the facts and circumstances at the employer’s year-end, additional disclosure describing the substance and magnitude of the changes would be required. In circumstances in which plan-level information is not included in a publicly available financial report, the Board tentatively agreed that the employer should disclose all information required by other standards about plan net assets.</w:t>
      </w:r>
    </w:p>
    <w:p w:rsidR="00A73358" w:rsidRPr="004A2BD0" w:rsidRDefault="00A73358" w:rsidP="004A2BD0">
      <w:pPr>
        <w:spacing w:after="0" w:line="240" w:lineRule="auto"/>
        <w:rPr>
          <w:rFonts w:ascii="Times New Roman" w:hAnsi="Times New Roman" w:cs="Times New Roman"/>
          <w:sz w:val="24"/>
          <w:szCs w:val="24"/>
        </w:rPr>
      </w:pPr>
    </w:p>
    <w:p w:rsid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Concerning the topic of accounting for defined contribution benefits, the Board tentatively agreed that an employer that provides defined contribution benefits would report pension expense net of forfeitures of nonvested employer contributions that are removed from employees’ accounts. In addition, the Board tentatively agreed that employers that provide defined contribution benefits would disclose a brief description of vesting and forfeiture provisions, if any, including a description of how forfeitures are used and the amount of forfeitures reflected in net pension expense recognized in the period. The Board also discussed the classification of pension benefits that have both defined contribution and defined benefit characteristics and tentatively affirmed that such a benefit would be accounted for as a defined benefit.</w:t>
      </w:r>
    </w:p>
    <w:p w:rsidR="00A73358" w:rsidRPr="004A2BD0" w:rsidRDefault="00A73358" w:rsidP="004A2BD0">
      <w:pPr>
        <w:spacing w:after="0" w:line="240" w:lineRule="auto"/>
        <w:rPr>
          <w:rFonts w:ascii="Times New Roman" w:hAnsi="Times New Roman" w:cs="Times New Roman"/>
          <w:sz w:val="24"/>
          <w:szCs w:val="24"/>
        </w:rPr>
      </w:pPr>
    </w:p>
    <w:p w:rsid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With regard to the attribution of the collective cost-sharing liability and related measures to employers and to nonemployer governments that have a legal responsibility for a portion of total contributions, the Board tentatively decided that the proportionate share would be based on a measure reflective of the long-term expectation of the individual entity’s contribution requirements relative to the expected total legally required contribution requirements of all entities, determined at the time of the latest actuarial valuation. In addition, the Board agreed that for each entity, the net effect of a change in its proportionate share would be calculated for accounting and financial reporting purposes as of the beginning of its fiscal year. The net effect would be accounted for as a deferred outflow (inflow), with pension expense recognized over a weighted-average period based on the expected remaining service lives of all active employees. Finally, the Board tentatively decided that any difference between the amount of a government’s actual contribution recognized by the pension plan and the proportionate share of all contributions allocated to the government in the period would be recognized as a deferred outflow (inflow), with pension expense recognized over a weighted-average period based on the expected remaining service lives of all active employees.</w:t>
      </w:r>
    </w:p>
    <w:p w:rsidR="00A73358" w:rsidRPr="004A2BD0" w:rsidRDefault="00A73358" w:rsidP="004A2BD0">
      <w:pPr>
        <w:spacing w:after="0" w:line="240" w:lineRule="auto"/>
        <w:rPr>
          <w:rFonts w:ascii="Times New Roman" w:hAnsi="Times New Roman" w:cs="Times New Roman"/>
          <w:sz w:val="24"/>
          <w:szCs w:val="24"/>
        </w:rPr>
      </w:pPr>
    </w:p>
    <w:p w:rsid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On the topic of note disclosures and required supplementary information for governments that recognize cost-sharing pension liabilities, the Board tentatively decided the following general information would be required:</w:t>
      </w:r>
    </w:p>
    <w:p w:rsidR="00BA503D" w:rsidRPr="004A2BD0" w:rsidRDefault="00BA503D" w:rsidP="004A2BD0">
      <w:pPr>
        <w:spacing w:after="0" w:line="240" w:lineRule="auto"/>
        <w:rPr>
          <w:rFonts w:ascii="Times New Roman" w:hAnsi="Times New Roman" w:cs="Times New Roman"/>
          <w:sz w:val="24"/>
          <w:szCs w:val="24"/>
        </w:rPr>
      </w:pPr>
    </w:p>
    <w:p w:rsidR="004A2BD0" w:rsidRPr="004A2BD0" w:rsidRDefault="004A2BD0" w:rsidP="00BA503D">
      <w:pPr>
        <w:tabs>
          <w:tab w:val="left" w:pos="270"/>
        </w:tabs>
        <w:spacing w:after="0" w:line="240" w:lineRule="auto"/>
        <w:ind w:left="270" w:hanging="270"/>
        <w:rPr>
          <w:rFonts w:ascii="Times New Roman" w:hAnsi="Times New Roman" w:cs="Times New Roman"/>
          <w:sz w:val="24"/>
          <w:szCs w:val="24"/>
        </w:rPr>
      </w:pPr>
      <w:r w:rsidRPr="004A2BD0">
        <w:rPr>
          <w:rFonts w:ascii="Times New Roman" w:hAnsi="Times New Roman" w:cs="Times New Roman"/>
          <w:sz w:val="24"/>
          <w:szCs w:val="24"/>
        </w:rPr>
        <w:lastRenderedPageBreak/>
        <w:t xml:space="preserve">• </w:t>
      </w:r>
      <w:r w:rsidR="00BA503D">
        <w:rPr>
          <w:rFonts w:ascii="Times New Roman" w:hAnsi="Times New Roman" w:cs="Times New Roman"/>
          <w:sz w:val="24"/>
          <w:szCs w:val="24"/>
        </w:rPr>
        <w:tab/>
      </w:r>
      <w:r w:rsidRPr="004A2BD0">
        <w:rPr>
          <w:rFonts w:ascii="Times New Roman" w:hAnsi="Times New Roman" w:cs="Times New Roman"/>
          <w:sz w:val="24"/>
          <w:szCs w:val="24"/>
        </w:rPr>
        <w:t>The aggregate (total for all benefit arrangements) recognized net pension liabilities, pension expenses, deferred pension outflows, and deferred pension inflows</w:t>
      </w:r>
    </w:p>
    <w:p w:rsidR="004A2BD0" w:rsidRPr="004A2BD0" w:rsidRDefault="004A2BD0" w:rsidP="00BA503D">
      <w:pPr>
        <w:tabs>
          <w:tab w:val="left" w:pos="270"/>
        </w:tabs>
        <w:spacing w:after="0" w:line="240" w:lineRule="auto"/>
        <w:ind w:left="270" w:hanging="270"/>
        <w:rPr>
          <w:rFonts w:ascii="Times New Roman" w:hAnsi="Times New Roman" w:cs="Times New Roman"/>
          <w:sz w:val="24"/>
          <w:szCs w:val="24"/>
        </w:rPr>
      </w:pPr>
      <w:r w:rsidRPr="004A2BD0">
        <w:rPr>
          <w:rFonts w:ascii="Times New Roman" w:hAnsi="Times New Roman" w:cs="Times New Roman"/>
          <w:sz w:val="24"/>
          <w:szCs w:val="24"/>
        </w:rPr>
        <w:t xml:space="preserve">• </w:t>
      </w:r>
      <w:r w:rsidR="00BA503D">
        <w:rPr>
          <w:rFonts w:ascii="Times New Roman" w:hAnsi="Times New Roman" w:cs="Times New Roman"/>
          <w:sz w:val="24"/>
          <w:szCs w:val="24"/>
        </w:rPr>
        <w:tab/>
      </w:r>
      <w:r w:rsidRPr="004A2BD0">
        <w:rPr>
          <w:rFonts w:ascii="Times New Roman" w:hAnsi="Times New Roman" w:cs="Times New Roman"/>
          <w:sz w:val="24"/>
          <w:szCs w:val="24"/>
        </w:rPr>
        <w:t>General information about the plan, including descriptions of benefit provisions and the authority for establishing or amending those provisions, descriptions of employees covered by the benefit arrangement, and the availability of stand-alone plan financial reports</w:t>
      </w:r>
    </w:p>
    <w:p w:rsidR="004A2BD0" w:rsidRPr="004A2BD0" w:rsidRDefault="004A2BD0" w:rsidP="00BA503D">
      <w:pPr>
        <w:tabs>
          <w:tab w:val="left" w:pos="270"/>
        </w:tabs>
        <w:spacing w:after="0" w:line="240" w:lineRule="auto"/>
        <w:ind w:left="270" w:hanging="270"/>
        <w:rPr>
          <w:rFonts w:ascii="Times New Roman" w:hAnsi="Times New Roman" w:cs="Times New Roman"/>
          <w:sz w:val="24"/>
          <w:szCs w:val="24"/>
        </w:rPr>
      </w:pPr>
      <w:r w:rsidRPr="004A2BD0">
        <w:rPr>
          <w:rFonts w:ascii="Times New Roman" w:hAnsi="Times New Roman" w:cs="Times New Roman"/>
          <w:sz w:val="24"/>
          <w:szCs w:val="24"/>
        </w:rPr>
        <w:t xml:space="preserve">• </w:t>
      </w:r>
      <w:r w:rsidR="00BA503D">
        <w:rPr>
          <w:rFonts w:ascii="Times New Roman" w:hAnsi="Times New Roman" w:cs="Times New Roman"/>
          <w:sz w:val="24"/>
          <w:szCs w:val="24"/>
        </w:rPr>
        <w:tab/>
      </w:r>
      <w:r w:rsidRPr="004A2BD0">
        <w:rPr>
          <w:rFonts w:ascii="Times New Roman" w:hAnsi="Times New Roman" w:cs="Times New Roman"/>
          <w:sz w:val="24"/>
          <w:szCs w:val="24"/>
        </w:rPr>
        <w:t>Assumptions used in measurement</w:t>
      </w:r>
    </w:p>
    <w:p w:rsidR="004A2BD0" w:rsidRPr="004A2BD0" w:rsidRDefault="004A2BD0" w:rsidP="00BA503D">
      <w:pPr>
        <w:tabs>
          <w:tab w:val="left" w:pos="270"/>
        </w:tabs>
        <w:spacing w:after="0" w:line="240" w:lineRule="auto"/>
        <w:ind w:left="270" w:hanging="270"/>
        <w:rPr>
          <w:rFonts w:ascii="Times New Roman" w:hAnsi="Times New Roman" w:cs="Times New Roman"/>
          <w:sz w:val="24"/>
          <w:szCs w:val="24"/>
        </w:rPr>
      </w:pPr>
      <w:r w:rsidRPr="004A2BD0">
        <w:rPr>
          <w:rFonts w:ascii="Times New Roman" w:hAnsi="Times New Roman" w:cs="Times New Roman"/>
          <w:sz w:val="24"/>
          <w:szCs w:val="24"/>
        </w:rPr>
        <w:t xml:space="preserve">• </w:t>
      </w:r>
      <w:r w:rsidR="00BA503D">
        <w:rPr>
          <w:rFonts w:ascii="Times New Roman" w:hAnsi="Times New Roman" w:cs="Times New Roman"/>
          <w:sz w:val="24"/>
          <w:szCs w:val="24"/>
        </w:rPr>
        <w:tab/>
      </w:r>
      <w:r w:rsidRPr="004A2BD0">
        <w:rPr>
          <w:rFonts w:ascii="Times New Roman" w:hAnsi="Times New Roman" w:cs="Times New Roman"/>
          <w:sz w:val="24"/>
          <w:szCs w:val="24"/>
        </w:rPr>
        <w:t>Descriptions of changes in assumptions or plan terms</w:t>
      </w:r>
    </w:p>
    <w:p w:rsidR="004A2BD0" w:rsidRPr="004A2BD0" w:rsidRDefault="004A2BD0" w:rsidP="00BA503D">
      <w:pPr>
        <w:tabs>
          <w:tab w:val="left" w:pos="270"/>
        </w:tabs>
        <w:spacing w:after="0" w:line="240" w:lineRule="auto"/>
        <w:ind w:left="270" w:hanging="270"/>
        <w:rPr>
          <w:rFonts w:ascii="Times New Roman" w:hAnsi="Times New Roman" w:cs="Times New Roman"/>
          <w:sz w:val="24"/>
          <w:szCs w:val="24"/>
        </w:rPr>
      </w:pPr>
      <w:r w:rsidRPr="004A2BD0">
        <w:rPr>
          <w:rFonts w:ascii="Times New Roman" w:hAnsi="Times New Roman" w:cs="Times New Roman"/>
          <w:sz w:val="24"/>
          <w:szCs w:val="24"/>
        </w:rPr>
        <w:t xml:space="preserve">• </w:t>
      </w:r>
      <w:r w:rsidR="00BA503D">
        <w:rPr>
          <w:rFonts w:ascii="Times New Roman" w:hAnsi="Times New Roman" w:cs="Times New Roman"/>
          <w:sz w:val="24"/>
          <w:szCs w:val="24"/>
        </w:rPr>
        <w:tab/>
      </w:r>
      <w:r w:rsidRPr="004A2BD0">
        <w:rPr>
          <w:rFonts w:ascii="Times New Roman" w:hAnsi="Times New Roman" w:cs="Times New Roman"/>
          <w:sz w:val="24"/>
          <w:szCs w:val="24"/>
        </w:rPr>
        <w:t>Information about the basis for the determination of contributions to the plan by employees, the employer, and other contributing entities.</w:t>
      </w:r>
    </w:p>
    <w:p w:rsidR="00BA503D" w:rsidRDefault="00BA503D" w:rsidP="004A2BD0">
      <w:pPr>
        <w:spacing w:after="0" w:line="240" w:lineRule="auto"/>
        <w:rPr>
          <w:rFonts w:ascii="Times New Roman" w:hAnsi="Times New Roman" w:cs="Times New Roman"/>
          <w:sz w:val="24"/>
          <w:szCs w:val="24"/>
        </w:rPr>
      </w:pPr>
    </w:p>
    <w:p w:rsid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The Board tentatively agreed to also require disclosure of information about the net pension liability and related measures associated with each cost-sharing plan for which the government recognizes a pension liability.</w:t>
      </w:r>
    </w:p>
    <w:p w:rsidR="00A73358" w:rsidRPr="004A2BD0" w:rsidRDefault="00A73358" w:rsidP="004A2BD0">
      <w:pPr>
        <w:spacing w:after="0" w:line="240" w:lineRule="auto"/>
        <w:rPr>
          <w:rFonts w:ascii="Times New Roman" w:hAnsi="Times New Roman" w:cs="Times New Roman"/>
          <w:sz w:val="24"/>
          <w:szCs w:val="24"/>
        </w:rPr>
      </w:pPr>
    </w:p>
    <w:p w:rsid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Governments also would be required to disclose the amount of government-specific deferred outflows (inflows) attributable to the net effect of the government’s current-period change in proportionate share and the current-period difference between the government’s actual contributions recognized by the plan and the government’s proportionate share of collective contributions recognized by the plan in the period, the period over which those deferred outflows (inflows) will be recognized as pension expense, and the amount of prior-period individual-government deferred pension outflows (inflows) recognized as pension expense in the current period.</w:t>
      </w:r>
    </w:p>
    <w:p w:rsidR="00A73358" w:rsidRPr="004A2BD0" w:rsidRDefault="00A73358" w:rsidP="004A2BD0">
      <w:pPr>
        <w:spacing w:after="0" w:line="240" w:lineRule="auto"/>
        <w:rPr>
          <w:rFonts w:ascii="Times New Roman" w:hAnsi="Times New Roman" w:cs="Times New Roman"/>
          <w:sz w:val="24"/>
          <w:szCs w:val="24"/>
        </w:rPr>
      </w:pPr>
    </w:p>
    <w:p w:rsid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 xml:space="preserve">In addition, the Board tentatively agreed that a cost-sharing </w:t>
      </w:r>
      <w:r w:rsidRPr="00BA503D">
        <w:rPr>
          <w:rFonts w:ascii="Times New Roman" w:hAnsi="Times New Roman" w:cs="Times New Roman"/>
          <w:i/>
          <w:sz w:val="24"/>
          <w:szCs w:val="24"/>
        </w:rPr>
        <w:t xml:space="preserve">employer </w:t>
      </w:r>
      <w:r w:rsidRPr="004A2BD0">
        <w:rPr>
          <w:rFonts w:ascii="Times New Roman" w:hAnsi="Times New Roman" w:cs="Times New Roman"/>
          <w:sz w:val="24"/>
          <w:szCs w:val="24"/>
        </w:rPr>
        <w:t>would be required to disclose the revenue it recognized as a result of the support provided by the nonemployer contributing entity, as well as the amount of net pension liability and deferred pension outflows (inflows) assumed by the nonemployer contributing entity and the amount of the net pension liability and deferred pension outflows (inflows) that would have been recognized by the employer if a portion of those amounts had not been assumed by a nonemployer contributing entity.</w:t>
      </w:r>
    </w:p>
    <w:p w:rsidR="00A73358" w:rsidRPr="004A2BD0" w:rsidRDefault="00A73358" w:rsidP="004A2BD0">
      <w:pPr>
        <w:spacing w:after="0" w:line="240" w:lineRule="auto"/>
        <w:rPr>
          <w:rFonts w:ascii="Times New Roman" w:hAnsi="Times New Roman" w:cs="Times New Roman"/>
          <w:sz w:val="24"/>
          <w:szCs w:val="24"/>
        </w:rPr>
      </w:pPr>
    </w:p>
    <w:p w:rsid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With regard to situations in which a nonemployer entity has a legally enforceable responsibility to contribute to a single-employer or agent multiple-employer plan, the Board tentatively agreed that the employer(s) and the nonemployer entity would account for that support in the same way that a cost-sharing employer would account for such support under the tentative decisions identified above. In addition, the Board tentatively agreed that the nonemployer contributing government would follow the same disclosure requirements tentatively agreed upon related to nonemployer governments’ involvement in cost-sharing arrangements. It also tentatively was decided that sole or agent employers that receive support from a nonemployer entity would report in notes and required supplementary information the same information as required by sole and agent employers that do not have other-entity support. Detailed information presented in notes and required supplementary information of a sole or agent employer would be measured without the effects of the other entity’s support, with additional identification of the amount of net pension liability and deferred pension outflows (inflows) assumed by the nonemployer contributing entity and the revenue recognized as a result of the support provided by the nonemployer contributing entity.</w:t>
      </w:r>
    </w:p>
    <w:p w:rsidR="00A73358" w:rsidRPr="004A2BD0" w:rsidRDefault="00A73358" w:rsidP="004A2BD0">
      <w:pPr>
        <w:spacing w:after="0" w:line="240" w:lineRule="auto"/>
        <w:rPr>
          <w:rFonts w:ascii="Times New Roman" w:hAnsi="Times New Roman" w:cs="Times New Roman"/>
          <w:sz w:val="24"/>
          <w:szCs w:val="24"/>
        </w:rPr>
      </w:pPr>
    </w:p>
    <w:p w:rsid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On the topic of transition and effective dates, the Board tentatively decided that the provisions of the proposed Statements would be applied retroactively to the extent it is practical in employer and plan financial statements. In cases in which it is not practical, for example, as might be the case with deferral balances related to differences between actual and projected earnings on plan investments for an employer whose fiscal year-end differs from the plan’s, the employer’s retroactive application would be limited to the net pension liability. In regard to required supplementary information, the Board tentatively agreed that amounts would not be required to be presented for periods prior to implementation; however, retroactive application would be encouraged.</w:t>
      </w:r>
    </w:p>
    <w:p w:rsidR="00A73358" w:rsidRPr="004A2BD0" w:rsidRDefault="00A73358" w:rsidP="004A2BD0">
      <w:pPr>
        <w:spacing w:after="0" w:line="240" w:lineRule="auto"/>
        <w:rPr>
          <w:rFonts w:ascii="Times New Roman" w:hAnsi="Times New Roman" w:cs="Times New Roman"/>
          <w:sz w:val="24"/>
          <w:szCs w:val="24"/>
        </w:rPr>
      </w:pPr>
    </w:p>
    <w:p w:rsid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In regard to the effective date for employers, the Board tentatively decided the effective date would be for financial reporting periods beginning after June 15, 2012, for large, sole employers that are not involved in arrangements in which another entity would be required to report a share of the employer’s net pension liability and related measures as a result of a legally enforceable requirement to make contributions. For all other employers, the requirements of the proposed Statement would be effective for periods beginning after June 15, 2013. The Board will continue deliberations at a future meeting regarding the definition of “large” for this purpose. The Board tentatively agreed that pension plans would follow the same effective date requirements as tentatively decided for the employers.</w:t>
      </w:r>
    </w:p>
    <w:p w:rsidR="00A73358" w:rsidRPr="004A2BD0" w:rsidRDefault="00A73358" w:rsidP="004A2BD0">
      <w:pPr>
        <w:spacing w:after="0" w:line="240" w:lineRule="auto"/>
        <w:rPr>
          <w:rFonts w:ascii="Times New Roman" w:hAnsi="Times New Roman" w:cs="Times New Roman"/>
          <w:sz w:val="24"/>
          <w:szCs w:val="24"/>
        </w:rPr>
      </w:pPr>
    </w:p>
    <w:p w:rsidR="004A2BD0" w:rsidRP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The Board also reviewed draft Standards sections of both the employer and the pension plan Exposure Drafts and considered additional issues related to those drafts. Board members provided feedback and suggestions to the project staff related to the text of the drafts. In addition, the Board made tentative decisions related to detailed requirements for display of information in pension plan financial statements, generally agreeing to carry forward existing requirements to the Exposure Draft. The Board also discussed terminology and issues related to further alignment of the employer and plan requirements for note disclosures and required supplementary information.</w:t>
      </w:r>
    </w:p>
    <w:p w:rsidR="004A2BD0" w:rsidRPr="004A2BD0" w:rsidRDefault="004A2BD0" w:rsidP="004A2BD0">
      <w:pPr>
        <w:spacing w:after="0" w:line="240" w:lineRule="auto"/>
        <w:rPr>
          <w:rFonts w:ascii="Times New Roman" w:hAnsi="Times New Roman" w:cs="Times New Roman"/>
          <w:sz w:val="24"/>
          <w:szCs w:val="24"/>
        </w:rPr>
      </w:pPr>
    </w:p>
    <w:p w:rsidR="004A2BD0" w:rsidRPr="00BA503D" w:rsidRDefault="004A2BD0" w:rsidP="004A2BD0">
      <w:pPr>
        <w:spacing w:after="0" w:line="240" w:lineRule="auto"/>
        <w:rPr>
          <w:rFonts w:ascii="Times New Roman" w:hAnsi="Times New Roman" w:cs="Times New Roman"/>
          <w:b/>
          <w:i/>
          <w:sz w:val="24"/>
          <w:szCs w:val="24"/>
        </w:rPr>
      </w:pPr>
      <w:r w:rsidRPr="00BA503D">
        <w:rPr>
          <w:rFonts w:ascii="Times New Roman" w:hAnsi="Times New Roman" w:cs="Times New Roman"/>
          <w:b/>
          <w:i/>
          <w:sz w:val="24"/>
          <w:szCs w:val="24"/>
        </w:rPr>
        <w:t>Concepts—Recognition and Measurement Approaches</w:t>
      </w:r>
    </w:p>
    <w:p w:rsidR="004A2BD0" w:rsidRP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 xml:space="preserve">The Board reviewed the preballot draft of the Preliminary Views, </w:t>
      </w:r>
      <w:r w:rsidRPr="00BA503D">
        <w:rPr>
          <w:rFonts w:ascii="Times New Roman" w:hAnsi="Times New Roman" w:cs="Times New Roman"/>
          <w:i/>
          <w:sz w:val="24"/>
          <w:szCs w:val="24"/>
        </w:rPr>
        <w:t>Recognition of Elements of Financial Statements and Measurement Approaches.</w:t>
      </w:r>
      <w:r w:rsidRPr="004A2BD0">
        <w:rPr>
          <w:rFonts w:ascii="Times New Roman" w:hAnsi="Times New Roman" w:cs="Times New Roman"/>
          <w:sz w:val="24"/>
          <w:szCs w:val="24"/>
        </w:rPr>
        <w:t xml:space="preserve"> The Board offered various suggestions to improve the document and requested that the staff prepare a revised preballot draft of the Preliminary Views for review at the June teleconference meeting.</w:t>
      </w:r>
    </w:p>
    <w:p w:rsidR="004A2BD0" w:rsidRPr="004A2BD0" w:rsidRDefault="004A2BD0" w:rsidP="004A2BD0">
      <w:pPr>
        <w:spacing w:after="0" w:line="240" w:lineRule="auto"/>
        <w:rPr>
          <w:rFonts w:ascii="Times New Roman" w:hAnsi="Times New Roman" w:cs="Times New Roman"/>
          <w:sz w:val="24"/>
          <w:szCs w:val="24"/>
        </w:rPr>
      </w:pPr>
    </w:p>
    <w:p w:rsidR="004A2BD0" w:rsidRPr="00BA503D" w:rsidRDefault="004A2BD0" w:rsidP="004A2BD0">
      <w:pPr>
        <w:spacing w:after="0" w:line="240" w:lineRule="auto"/>
        <w:rPr>
          <w:rFonts w:ascii="Times New Roman" w:hAnsi="Times New Roman" w:cs="Times New Roman"/>
          <w:b/>
          <w:i/>
          <w:sz w:val="24"/>
          <w:szCs w:val="24"/>
        </w:rPr>
      </w:pPr>
      <w:r w:rsidRPr="00BA503D">
        <w:rPr>
          <w:rFonts w:ascii="Times New Roman" w:hAnsi="Times New Roman" w:cs="Times New Roman"/>
          <w:b/>
          <w:i/>
          <w:sz w:val="24"/>
          <w:szCs w:val="24"/>
        </w:rPr>
        <w:t>Statement of Net Position</w:t>
      </w:r>
    </w:p>
    <w:p w:rsidR="004A2BD0" w:rsidRDefault="004A2BD0" w:rsidP="004A2BD0">
      <w:pPr>
        <w:spacing w:after="0" w:line="240" w:lineRule="auto"/>
        <w:rPr>
          <w:rFonts w:ascii="Times New Roman" w:hAnsi="Times New Roman" w:cs="Times New Roman"/>
          <w:i/>
          <w:sz w:val="24"/>
          <w:szCs w:val="24"/>
        </w:rPr>
      </w:pPr>
      <w:r w:rsidRPr="004A2BD0">
        <w:rPr>
          <w:rFonts w:ascii="Times New Roman" w:hAnsi="Times New Roman" w:cs="Times New Roman"/>
          <w:sz w:val="24"/>
          <w:szCs w:val="24"/>
        </w:rPr>
        <w:t xml:space="preserve">The Board began its redeliberations of the issues raised by respondents to the Exposure Draft by agreeing that it would not be necessary or appropriate to redeliberate conclusions reached in other pronouncements that gave rise to this project. Specifically, the establishment of the separate elements of deferred outflows of resources and deferred inflows of resources in Concepts Statement No. 4, </w:t>
      </w:r>
      <w:r w:rsidRPr="00BA503D">
        <w:rPr>
          <w:rFonts w:ascii="Times New Roman" w:hAnsi="Times New Roman" w:cs="Times New Roman"/>
          <w:i/>
          <w:sz w:val="24"/>
          <w:szCs w:val="24"/>
        </w:rPr>
        <w:t>Elements of Financial Statements,</w:t>
      </w:r>
      <w:r w:rsidRPr="004A2BD0">
        <w:rPr>
          <w:rFonts w:ascii="Times New Roman" w:hAnsi="Times New Roman" w:cs="Times New Roman"/>
          <w:sz w:val="24"/>
          <w:szCs w:val="24"/>
        </w:rPr>
        <w:t xml:space="preserve"> and the requirements to report deferred outflows and deferred inflows of resources in Statements No. 53, </w:t>
      </w:r>
      <w:r w:rsidRPr="00BA503D">
        <w:rPr>
          <w:rFonts w:ascii="Times New Roman" w:hAnsi="Times New Roman" w:cs="Times New Roman"/>
          <w:i/>
          <w:sz w:val="24"/>
          <w:szCs w:val="24"/>
        </w:rPr>
        <w:t>Accounting and Financial Reporting for Derivative Instruments,</w:t>
      </w:r>
      <w:r w:rsidRPr="004A2BD0">
        <w:rPr>
          <w:rFonts w:ascii="Times New Roman" w:hAnsi="Times New Roman" w:cs="Times New Roman"/>
          <w:sz w:val="24"/>
          <w:szCs w:val="24"/>
        </w:rPr>
        <w:t xml:space="preserve"> and No. 60, </w:t>
      </w:r>
      <w:r w:rsidRPr="00BA503D">
        <w:rPr>
          <w:rFonts w:ascii="Times New Roman" w:hAnsi="Times New Roman" w:cs="Times New Roman"/>
          <w:i/>
          <w:sz w:val="24"/>
          <w:szCs w:val="24"/>
        </w:rPr>
        <w:t>Accounting and Financial Reporting for Service Concession Arrangements.</w:t>
      </w:r>
    </w:p>
    <w:p w:rsidR="00A73358" w:rsidRPr="00BA503D" w:rsidRDefault="00A73358" w:rsidP="004A2BD0">
      <w:pPr>
        <w:spacing w:after="0" w:line="240" w:lineRule="auto"/>
        <w:rPr>
          <w:rFonts w:ascii="Times New Roman" w:hAnsi="Times New Roman" w:cs="Times New Roman"/>
          <w:i/>
          <w:sz w:val="24"/>
          <w:szCs w:val="24"/>
        </w:rPr>
      </w:pPr>
    </w:p>
    <w:p w:rsidR="004A2BD0" w:rsidRP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lastRenderedPageBreak/>
        <w:t>The Board tentatively agreed to make certain clarifications for the final Statement, including:</w:t>
      </w:r>
    </w:p>
    <w:p w:rsidR="00BA503D" w:rsidRDefault="00BA503D" w:rsidP="004A2BD0">
      <w:pPr>
        <w:spacing w:after="0" w:line="240" w:lineRule="auto"/>
        <w:rPr>
          <w:rFonts w:ascii="Times New Roman" w:hAnsi="Times New Roman" w:cs="Times New Roman"/>
          <w:sz w:val="24"/>
          <w:szCs w:val="24"/>
        </w:rPr>
      </w:pPr>
    </w:p>
    <w:p w:rsidR="004A2BD0" w:rsidRPr="004A2BD0" w:rsidRDefault="004A2BD0" w:rsidP="00BA503D">
      <w:pPr>
        <w:tabs>
          <w:tab w:val="left" w:pos="270"/>
        </w:tabs>
        <w:spacing w:after="0" w:line="240" w:lineRule="auto"/>
        <w:ind w:left="270" w:hanging="270"/>
        <w:rPr>
          <w:rFonts w:ascii="Times New Roman" w:hAnsi="Times New Roman" w:cs="Times New Roman"/>
          <w:sz w:val="24"/>
          <w:szCs w:val="24"/>
        </w:rPr>
      </w:pPr>
      <w:r w:rsidRPr="004A2BD0">
        <w:rPr>
          <w:rFonts w:ascii="Times New Roman" w:hAnsi="Times New Roman" w:cs="Times New Roman"/>
          <w:sz w:val="24"/>
          <w:szCs w:val="24"/>
        </w:rPr>
        <w:t xml:space="preserve">• </w:t>
      </w:r>
      <w:r w:rsidR="00BA503D">
        <w:rPr>
          <w:rFonts w:ascii="Times New Roman" w:hAnsi="Times New Roman" w:cs="Times New Roman"/>
          <w:sz w:val="24"/>
          <w:szCs w:val="24"/>
        </w:rPr>
        <w:tab/>
      </w:r>
      <w:r w:rsidRPr="004A2BD0">
        <w:rPr>
          <w:rFonts w:ascii="Times New Roman" w:hAnsi="Times New Roman" w:cs="Times New Roman"/>
          <w:sz w:val="24"/>
          <w:szCs w:val="24"/>
        </w:rPr>
        <w:t>Adding a specific indication in the Standards section that reporting deferred outflows and deferred inflows of resources is limited to those items that “are required to be reported” as such</w:t>
      </w:r>
    </w:p>
    <w:p w:rsidR="004A2BD0" w:rsidRPr="004A2BD0" w:rsidRDefault="004A2BD0" w:rsidP="00BA503D">
      <w:pPr>
        <w:tabs>
          <w:tab w:val="left" w:pos="270"/>
        </w:tabs>
        <w:spacing w:after="0" w:line="240" w:lineRule="auto"/>
        <w:ind w:left="270" w:hanging="270"/>
        <w:rPr>
          <w:rFonts w:ascii="Times New Roman" w:hAnsi="Times New Roman" w:cs="Times New Roman"/>
          <w:sz w:val="24"/>
          <w:szCs w:val="24"/>
        </w:rPr>
      </w:pPr>
      <w:r w:rsidRPr="004A2BD0">
        <w:rPr>
          <w:rFonts w:ascii="Times New Roman" w:hAnsi="Times New Roman" w:cs="Times New Roman"/>
          <w:sz w:val="24"/>
          <w:szCs w:val="24"/>
        </w:rPr>
        <w:t xml:space="preserve">• </w:t>
      </w:r>
      <w:r w:rsidR="00BA503D">
        <w:rPr>
          <w:rFonts w:ascii="Times New Roman" w:hAnsi="Times New Roman" w:cs="Times New Roman"/>
          <w:sz w:val="24"/>
          <w:szCs w:val="24"/>
        </w:rPr>
        <w:tab/>
      </w:r>
      <w:r w:rsidRPr="004A2BD0">
        <w:rPr>
          <w:rFonts w:ascii="Times New Roman" w:hAnsi="Times New Roman" w:cs="Times New Roman"/>
          <w:sz w:val="24"/>
          <w:szCs w:val="24"/>
        </w:rPr>
        <w:t>Specifically stating that the residual amount in a statement of financial position would be reported as net position, rather than net assets, fund balance, or equity.</w:t>
      </w:r>
    </w:p>
    <w:p w:rsidR="00BA503D" w:rsidRDefault="00BA503D" w:rsidP="004A2BD0">
      <w:pPr>
        <w:spacing w:after="0" w:line="240" w:lineRule="auto"/>
        <w:rPr>
          <w:rFonts w:ascii="Times New Roman" w:hAnsi="Times New Roman" w:cs="Times New Roman"/>
          <w:sz w:val="24"/>
          <w:szCs w:val="24"/>
        </w:rPr>
      </w:pPr>
    </w:p>
    <w:p w:rsidR="004A2BD0" w:rsidRP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The Board also tentatively concluded that:</w:t>
      </w:r>
    </w:p>
    <w:p w:rsidR="00BA503D" w:rsidRDefault="00BA503D" w:rsidP="004A2BD0">
      <w:pPr>
        <w:spacing w:after="0" w:line="240" w:lineRule="auto"/>
        <w:rPr>
          <w:rFonts w:ascii="Times New Roman" w:hAnsi="Times New Roman" w:cs="Times New Roman"/>
          <w:sz w:val="24"/>
          <w:szCs w:val="24"/>
        </w:rPr>
      </w:pPr>
    </w:p>
    <w:p w:rsidR="004A2BD0" w:rsidRPr="004A2BD0" w:rsidRDefault="004A2BD0" w:rsidP="00BA503D">
      <w:pPr>
        <w:tabs>
          <w:tab w:val="left" w:pos="270"/>
        </w:tabs>
        <w:spacing w:after="0" w:line="240" w:lineRule="auto"/>
        <w:ind w:left="270" w:hanging="270"/>
        <w:rPr>
          <w:rFonts w:ascii="Times New Roman" w:hAnsi="Times New Roman" w:cs="Times New Roman"/>
          <w:sz w:val="24"/>
          <w:szCs w:val="24"/>
        </w:rPr>
      </w:pPr>
      <w:r w:rsidRPr="004A2BD0">
        <w:rPr>
          <w:rFonts w:ascii="Times New Roman" w:hAnsi="Times New Roman" w:cs="Times New Roman"/>
          <w:sz w:val="24"/>
          <w:szCs w:val="24"/>
        </w:rPr>
        <w:t xml:space="preserve">• </w:t>
      </w:r>
      <w:r w:rsidR="00BA503D">
        <w:rPr>
          <w:rFonts w:ascii="Times New Roman" w:hAnsi="Times New Roman" w:cs="Times New Roman"/>
          <w:sz w:val="24"/>
          <w:szCs w:val="24"/>
        </w:rPr>
        <w:tab/>
      </w:r>
      <w:r w:rsidRPr="004A2BD0">
        <w:rPr>
          <w:rFonts w:ascii="Times New Roman" w:hAnsi="Times New Roman" w:cs="Times New Roman"/>
          <w:sz w:val="24"/>
          <w:szCs w:val="24"/>
        </w:rPr>
        <w:t>Progress should continue toward issuing a final Statement to provide guidance for reporting deferred outflows and deferred inflow of resources as soon as possible, rather than delaying this project and combining it with the separate deferrals omnibus project.</w:t>
      </w:r>
    </w:p>
    <w:p w:rsidR="004A2BD0" w:rsidRPr="004A2BD0" w:rsidRDefault="004A2BD0" w:rsidP="00BA503D">
      <w:pPr>
        <w:tabs>
          <w:tab w:val="left" w:pos="270"/>
        </w:tabs>
        <w:spacing w:after="0" w:line="240" w:lineRule="auto"/>
        <w:ind w:left="270" w:hanging="270"/>
        <w:rPr>
          <w:rFonts w:ascii="Times New Roman" w:hAnsi="Times New Roman" w:cs="Times New Roman"/>
          <w:sz w:val="24"/>
          <w:szCs w:val="24"/>
        </w:rPr>
      </w:pPr>
      <w:r w:rsidRPr="004A2BD0">
        <w:rPr>
          <w:rFonts w:ascii="Times New Roman" w:hAnsi="Times New Roman" w:cs="Times New Roman"/>
          <w:sz w:val="24"/>
          <w:szCs w:val="24"/>
        </w:rPr>
        <w:t xml:space="preserve">• </w:t>
      </w:r>
      <w:r w:rsidR="00BA503D">
        <w:rPr>
          <w:rFonts w:ascii="Times New Roman" w:hAnsi="Times New Roman" w:cs="Times New Roman"/>
          <w:sz w:val="24"/>
          <w:szCs w:val="24"/>
        </w:rPr>
        <w:tab/>
      </w:r>
      <w:r w:rsidRPr="004A2BD0">
        <w:rPr>
          <w:rFonts w:ascii="Times New Roman" w:hAnsi="Times New Roman" w:cs="Times New Roman"/>
          <w:sz w:val="24"/>
          <w:szCs w:val="24"/>
        </w:rPr>
        <w:t>The proposal in the Exposure Draft to report deferred outflows of resources separately from deferred inflows of resources would be carried forward to the final Statement.</w:t>
      </w:r>
    </w:p>
    <w:p w:rsidR="004A2BD0" w:rsidRPr="004A2BD0" w:rsidRDefault="004A2BD0" w:rsidP="00BA503D">
      <w:pPr>
        <w:tabs>
          <w:tab w:val="left" w:pos="270"/>
        </w:tabs>
        <w:spacing w:after="0" w:line="240" w:lineRule="auto"/>
        <w:ind w:left="270" w:hanging="270"/>
        <w:rPr>
          <w:rFonts w:ascii="Times New Roman" w:hAnsi="Times New Roman" w:cs="Times New Roman"/>
          <w:sz w:val="24"/>
          <w:szCs w:val="24"/>
        </w:rPr>
      </w:pPr>
      <w:r w:rsidRPr="004A2BD0">
        <w:rPr>
          <w:rFonts w:ascii="Times New Roman" w:hAnsi="Times New Roman" w:cs="Times New Roman"/>
          <w:sz w:val="24"/>
          <w:szCs w:val="24"/>
        </w:rPr>
        <w:t xml:space="preserve">• </w:t>
      </w:r>
      <w:r w:rsidR="00BA503D">
        <w:rPr>
          <w:rFonts w:ascii="Times New Roman" w:hAnsi="Times New Roman" w:cs="Times New Roman"/>
          <w:sz w:val="24"/>
          <w:szCs w:val="24"/>
        </w:rPr>
        <w:tab/>
      </w:r>
      <w:r w:rsidRPr="004A2BD0">
        <w:rPr>
          <w:rFonts w:ascii="Times New Roman" w:hAnsi="Times New Roman" w:cs="Times New Roman"/>
          <w:sz w:val="24"/>
          <w:szCs w:val="24"/>
        </w:rPr>
        <w:t>Subtotals for assets and deferred outflows of resources and liabilities and deferred inflows of resources would be allowed to be presented.</w:t>
      </w:r>
    </w:p>
    <w:p w:rsidR="004A2BD0" w:rsidRPr="004A2BD0" w:rsidRDefault="004A2BD0" w:rsidP="00BA503D">
      <w:pPr>
        <w:tabs>
          <w:tab w:val="left" w:pos="270"/>
        </w:tabs>
        <w:spacing w:after="0" w:line="240" w:lineRule="auto"/>
        <w:ind w:left="270" w:hanging="270"/>
        <w:rPr>
          <w:rFonts w:ascii="Times New Roman" w:hAnsi="Times New Roman" w:cs="Times New Roman"/>
          <w:sz w:val="24"/>
          <w:szCs w:val="24"/>
        </w:rPr>
      </w:pPr>
      <w:r w:rsidRPr="004A2BD0">
        <w:rPr>
          <w:rFonts w:ascii="Times New Roman" w:hAnsi="Times New Roman" w:cs="Times New Roman"/>
          <w:sz w:val="24"/>
          <w:szCs w:val="24"/>
        </w:rPr>
        <w:t xml:space="preserve">• </w:t>
      </w:r>
      <w:r w:rsidR="00BA503D">
        <w:rPr>
          <w:rFonts w:ascii="Times New Roman" w:hAnsi="Times New Roman" w:cs="Times New Roman"/>
          <w:sz w:val="24"/>
          <w:szCs w:val="24"/>
        </w:rPr>
        <w:tab/>
      </w:r>
      <w:r w:rsidRPr="004A2BD0">
        <w:rPr>
          <w:rFonts w:ascii="Times New Roman" w:hAnsi="Times New Roman" w:cs="Times New Roman"/>
          <w:sz w:val="24"/>
          <w:szCs w:val="24"/>
        </w:rPr>
        <w:t>The option to use a balance sheet format would be reinstated for the final Statement.</w:t>
      </w:r>
    </w:p>
    <w:p w:rsidR="004A2BD0" w:rsidRPr="004A2BD0" w:rsidRDefault="004A2BD0" w:rsidP="00BA503D">
      <w:pPr>
        <w:tabs>
          <w:tab w:val="left" w:pos="270"/>
        </w:tabs>
        <w:spacing w:after="0" w:line="240" w:lineRule="auto"/>
        <w:ind w:left="270" w:hanging="270"/>
        <w:rPr>
          <w:rFonts w:ascii="Times New Roman" w:hAnsi="Times New Roman" w:cs="Times New Roman"/>
          <w:sz w:val="24"/>
          <w:szCs w:val="24"/>
        </w:rPr>
      </w:pPr>
      <w:r w:rsidRPr="004A2BD0">
        <w:rPr>
          <w:rFonts w:ascii="Times New Roman" w:hAnsi="Times New Roman" w:cs="Times New Roman"/>
          <w:sz w:val="24"/>
          <w:szCs w:val="24"/>
        </w:rPr>
        <w:t xml:space="preserve">• </w:t>
      </w:r>
      <w:r w:rsidR="00BA503D">
        <w:rPr>
          <w:rFonts w:ascii="Times New Roman" w:hAnsi="Times New Roman" w:cs="Times New Roman"/>
          <w:sz w:val="24"/>
          <w:szCs w:val="24"/>
        </w:rPr>
        <w:tab/>
      </w:r>
      <w:r w:rsidRPr="004A2BD0">
        <w:rPr>
          <w:rFonts w:ascii="Times New Roman" w:hAnsi="Times New Roman" w:cs="Times New Roman"/>
          <w:sz w:val="24"/>
          <w:szCs w:val="24"/>
        </w:rPr>
        <w:t>The description of the components of net position in paragraphs 10–12 in the Exposure Draft would be retained, modified as needed to accommodate additional deferred items that may be identified in the separate deferrals omnibus project.</w:t>
      </w:r>
    </w:p>
    <w:p w:rsidR="004A2BD0" w:rsidRDefault="004A2BD0" w:rsidP="00BA503D">
      <w:pPr>
        <w:tabs>
          <w:tab w:val="left" w:pos="270"/>
        </w:tabs>
        <w:spacing w:after="0" w:line="240" w:lineRule="auto"/>
        <w:ind w:left="270" w:hanging="270"/>
        <w:rPr>
          <w:rFonts w:ascii="Times New Roman" w:hAnsi="Times New Roman" w:cs="Times New Roman"/>
          <w:sz w:val="24"/>
          <w:szCs w:val="24"/>
        </w:rPr>
      </w:pPr>
      <w:r w:rsidRPr="004A2BD0">
        <w:rPr>
          <w:rFonts w:ascii="Times New Roman" w:hAnsi="Times New Roman" w:cs="Times New Roman"/>
          <w:sz w:val="24"/>
          <w:szCs w:val="24"/>
        </w:rPr>
        <w:t xml:space="preserve">• </w:t>
      </w:r>
      <w:r w:rsidR="00BA503D">
        <w:rPr>
          <w:rFonts w:ascii="Times New Roman" w:hAnsi="Times New Roman" w:cs="Times New Roman"/>
          <w:sz w:val="24"/>
          <w:szCs w:val="24"/>
        </w:rPr>
        <w:tab/>
      </w:r>
      <w:r w:rsidRPr="004A2BD0">
        <w:rPr>
          <w:rFonts w:ascii="Times New Roman" w:hAnsi="Times New Roman" w:cs="Times New Roman"/>
          <w:sz w:val="24"/>
          <w:szCs w:val="24"/>
        </w:rPr>
        <w:t>The effective date of the Statement would be changed to periods beginning after December 15, 2011, rather than June 15, 2011, as proposed in the Exposure Draft.</w:t>
      </w:r>
    </w:p>
    <w:p w:rsidR="00BA503D" w:rsidRPr="004A2BD0" w:rsidRDefault="00BA503D" w:rsidP="004A2BD0">
      <w:pPr>
        <w:spacing w:after="0" w:line="240" w:lineRule="auto"/>
        <w:rPr>
          <w:rFonts w:ascii="Times New Roman" w:hAnsi="Times New Roman" w:cs="Times New Roman"/>
          <w:sz w:val="24"/>
          <w:szCs w:val="24"/>
        </w:rPr>
      </w:pPr>
    </w:p>
    <w:p w:rsidR="004A2BD0" w:rsidRPr="00BA503D" w:rsidRDefault="004A2BD0" w:rsidP="004A2BD0">
      <w:pPr>
        <w:spacing w:after="0" w:line="240" w:lineRule="auto"/>
        <w:rPr>
          <w:rFonts w:ascii="Times New Roman" w:hAnsi="Times New Roman" w:cs="Times New Roman"/>
          <w:b/>
          <w:i/>
          <w:sz w:val="24"/>
          <w:szCs w:val="24"/>
        </w:rPr>
      </w:pPr>
      <w:r w:rsidRPr="00BA503D">
        <w:rPr>
          <w:rFonts w:ascii="Times New Roman" w:hAnsi="Times New Roman" w:cs="Times New Roman"/>
          <w:b/>
          <w:i/>
          <w:sz w:val="24"/>
          <w:szCs w:val="24"/>
        </w:rPr>
        <w:t xml:space="preserve">Deferred Inflows of Resources and Deferred Outflows of Resources—Omnibus </w:t>
      </w:r>
    </w:p>
    <w:p w:rsid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The Board continued deliberations on the deferred inflows of resources and deferred outflows of resources—omnibus project by reviewing the staff analysis of the remaining balances and determining whether those balances would continue to be classified as an asset or liability, would be reclassified as deferred outflows or deferred inflows of resources, or would be recognized as an outflow or inflow of resources in the current period.</w:t>
      </w:r>
      <w:r w:rsidR="00BA503D">
        <w:rPr>
          <w:rFonts w:ascii="Times New Roman" w:hAnsi="Times New Roman" w:cs="Times New Roman"/>
          <w:sz w:val="24"/>
          <w:szCs w:val="24"/>
        </w:rPr>
        <w:t xml:space="preserve"> </w:t>
      </w:r>
      <w:r w:rsidRPr="004A2BD0">
        <w:rPr>
          <w:rFonts w:ascii="Times New Roman" w:hAnsi="Times New Roman" w:cs="Times New Roman"/>
          <w:sz w:val="24"/>
          <w:szCs w:val="24"/>
        </w:rPr>
        <w:t>The Board tentatively concluded that the following items would be proposed to be classified in the listed categories:</w:t>
      </w:r>
    </w:p>
    <w:p w:rsidR="00BA503D" w:rsidRPr="004A2BD0" w:rsidRDefault="00BA503D" w:rsidP="004A2BD0">
      <w:pPr>
        <w:spacing w:after="0" w:line="240" w:lineRule="auto"/>
        <w:rPr>
          <w:rFonts w:ascii="Times New Roman" w:hAnsi="Times New Roman" w:cs="Times New Roman"/>
          <w:sz w:val="24"/>
          <w:szCs w:val="24"/>
        </w:rPr>
      </w:pPr>
    </w:p>
    <w:p w:rsidR="004A2BD0" w:rsidRPr="00BA503D" w:rsidRDefault="004A2BD0" w:rsidP="004A2BD0">
      <w:pPr>
        <w:spacing w:after="0" w:line="240" w:lineRule="auto"/>
        <w:rPr>
          <w:rFonts w:ascii="Times New Roman" w:hAnsi="Times New Roman" w:cs="Times New Roman"/>
          <w:i/>
          <w:sz w:val="24"/>
          <w:szCs w:val="24"/>
        </w:rPr>
      </w:pPr>
      <w:r w:rsidRPr="00BA503D">
        <w:rPr>
          <w:rFonts w:ascii="Times New Roman" w:hAnsi="Times New Roman" w:cs="Times New Roman"/>
          <w:i/>
          <w:sz w:val="24"/>
          <w:szCs w:val="24"/>
        </w:rPr>
        <w:t>Deferred Outflows of Resources</w:t>
      </w:r>
    </w:p>
    <w:p w:rsidR="00BA503D" w:rsidRDefault="00BA503D" w:rsidP="004A2BD0">
      <w:pPr>
        <w:spacing w:after="0" w:line="240" w:lineRule="auto"/>
        <w:rPr>
          <w:rFonts w:ascii="Times New Roman" w:hAnsi="Times New Roman" w:cs="Times New Roman"/>
          <w:sz w:val="24"/>
          <w:szCs w:val="24"/>
        </w:rPr>
      </w:pPr>
    </w:p>
    <w:p w:rsidR="004A2BD0" w:rsidRPr="004A2BD0" w:rsidRDefault="004A2BD0" w:rsidP="00D13019">
      <w:pPr>
        <w:tabs>
          <w:tab w:val="left" w:pos="270"/>
        </w:tabs>
        <w:spacing w:after="0" w:line="240" w:lineRule="auto"/>
        <w:ind w:left="270" w:hanging="270"/>
        <w:rPr>
          <w:rFonts w:ascii="Times New Roman" w:hAnsi="Times New Roman" w:cs="Times New Roman"/>
          <w:sz w:val="24"/>
          <w:szCs w:val="24"/>
        </w:rPr>
      </w:pPr>
      <w:r w:rsidRPr="004A2BD0">
        <w:rPr>
          <w:rFonts w:ascii="Times New Roman" w:hAnsi="Times New Roman" w:cs="Times New Roman"/>
          <w:sz w:val="24"/>
          <w:szCs w:val="24"/>
        </w:rPr>
        <w:t xml:space="preserve">• </w:t>
      </w:r>
      <w:r w:rsidR="00D13019">
        <w:rPr>
          <w:rFonts w:ascii="Times New Roman" w:hAnsi="Times New Roman" w:cs="Times New Roman"/>
          <w:sz w:val="24"/>
          <w:szCs w:val="24"/>
        </w:rPr>
        <w:tab/>
      </w:r>
      <w:r w:rsidRPr="004A2BD0">
        <w:rPr>
          <w:rFonts w:ascii="Times New Roman" w:hAnsi="Times New Roman" w:cs="Times New Roman"/>
          <w:sz w:val="24"/>
          <w:szCs w:val="24"/>
        </w:rPr>
        <w:t xml:space="preserve">Deferred loss resulting from sale-leaseback transactions (Statement No. 62, </w:t>
      </w:r>
      <w:r w:rsidRPr="00D13019">
        <w:rPr>
          <w:rFonts w:ascii="Times New Roman" w:hAnsi="Times New Roman" w:cs="Times New Roman"/>
          <w:i/>
          <w:sz w:val="24"/>
          <w:szCs w:val="24"/>
        </w:rPr>
        <w:t>Codification of Accounting and Financial Reporting Guidance Contained in Pre-November 30, 1989 FASB and AICPA Pronouncements</w:t>
      </w:r>
      <w:r w:rsidRPr="004A2BD0">
        <w:rPr>
          <w:rFonts w:ascii="Times New Roman" w:hAnsi="Times New Roman" w:cs="Times New Roman"/>
          <w:sz w:val="24"/>
          <w:szCs w:val="24"/>
        </w:rPr>
        <w:t>)</w:t>
      </w:r>
    </w:p>
    <w:p w:rsidR="004A2BD0" w:rsidRPr="004A2BD0" w:rsidRDefault="004A2BD0" w:rsidP="00D13019">
      <w:pPr>
        <w:tabs>
          <w:tab w:val="left" w:pos="270"/>
        </w:tabs>
        <w:spacing w:after="0" w:line="240" w:lineRule="auto"/>
        <w:ind w:left="270" w:hanging="270"/>
        <w:rPr>
          <w:rFonts w:ascii="Times New Roman" w:hAnsi="Times New Roman" w:cs="Times New Roman"/>
          <w:sz w:val="24"/>
          <w:szCs w:val="24"/>
        </w:rPr>
      </w:pPr>
      <w:r w:rsidRPr="004A2BD0">
        <w:rPr>
          <w:rFonts w:ascii="Times New Roman" w:hAnsi="Times New Roman" w:cs="Times New Roman"/>
          <w:sz w:val="24"/>
          <w:szCs w:val="24"/>
        </w:rPr>
        <w:t xml:space="preserve">• </w:t>
      </w:r>
      <w:r w:rsidR="00D13019">
        <w:rPr>
          <w:rFonts w:ascii="Times New Roman" w:hAnsi="Times New Roman" w:cs="Times New Roman"/>
          <w:sz w:val="24"/>
          <w:szCs w:val="24"/>
        </w:rPr>
        <w:tab/>
      </w:r>
      <w:r w:rsidRPr="004A2BD0">
        <w:rPr>
          <w:rFonts w:ascii="Times New Roman" w:hAnsi="Times New Roman" w:cs="Times New Roman"/>
          <w:sz w:val="24"/>
          <w:szCs w:val="24"/>
        </w:rPr>
        <w:t>The difference resulting from overpayment of the initial investment to purchase a loan or group of loans relative to the principle amount of the related loan or loans at the date of purchase (Statement 62)</w:t>
      </w:r>
    </w:p>
    <w:p w:rsidR="004A2BD0" w:rsidRPr="004A2BD0" w:rsidRDefault="004A2BD0" w:rsidP="00D13019">
      <w:pPr>
        <w:tabs>
          <w:tab w:val="left" w:pos="270"/>
        </w:tabs>
        <w:spacing w:after="0" w:line="240" w:lineRule="auto"/>
        <w:ind w:left="270" w:hanging="270"/>
        <w:rPr>
          <w:rFonts w:ascii="Times New Roman" w:hAnsi="Times New Roman" w:cs="Times New Roman"/>
          <w:sz w:val="24"/>
          <w:szCs w:val="24"/>
        </w:rPr>
      </w:pPr>
      <w:r w:rsidRPr="004A2BD0">
        <w:rPr>
          <w:rFonts w:ascii="Times New Roman" w:hAnsi="Times New Roman" w:cs="Times New Roman"/>
          <w:sz w:val="24"/>
          <w:szCs w:val="24"/>
        </w:rPr>
        <w:t xml:space="preserve">• </w:t>
      </w:r>
      <w:r w:rsidR="00D13019">
        <w:rPr>
          <w:rFonts w:ascii="Times New Roman" w:hAnsi="Times New Roman" w:cs="Times New Roman"/>
          <w:sz w:val="24"/>
          <w:szCs w:val="24"/>
        </w:rPr>
        <w:tab/>
      </w:r>
      <w:r w:rsidRPr="004A2BD0">
        <w:rPr>
          <w:rFonts w:ascii="Times New Roman" w:hAnsi="Times New Roman" w:cs="Times New Roman"/>
          <w:sz w:val="24"/>
          <w:szCs w:val="24"/>
        </w:rPr>
        <w:t>Net balance (debit) of direct loan origination costs for mortgage loans held for resale prior to the point of sale (Statement 62)</w:t>
      </w:r>
    </w:p>
    <w:p w:rsidR="004A2BD0" w:rsidRDefault="004A2BD0" w:rsidP="00D13019">
      <w:pPr>
        <w:tabs>
          <w:tab w:val="left" w:pos="270"/>
        </w:tabs>
        <w:spacing w:after="0" w:line="240" w:lineRule="auto"/>
        <w:ind w:left="270" w:hanging="270"/>
        <w:rPr>
          <w:rFonts w:ascii="Times New Roman" w:hAnsi="Times New Roman" w:cs="Times New Roman"/>
          <w:sz w:val="24"/>
          <w:szCs w:val="24"/>
        </w:rPr>
      </w:pPr>
      <w:r w:rsidRPr="004A2BD0">
        <w:rPr>
          <w:rFonts w:ascii="Times New Roman" w:hAnsi="Times New Roman" w:cs="Times New Roman"/>
          <w:sz w:val="24"/>
          <w:szCs w:val="24"/>
        </w:rPr>
        <w:t xml:space="preserve">• </w:t>
      </w:r>
      <w:r w:rsidR="00D13019">
        <w:rPr>
          <w:rFonts w:ascii="Times New Roman" w:hAnsi="Times New Roman" w:cs="Times New Roman"/>
          <w:sz w:val="24"/>
          <w:szCs w:val="24"/>
        </w:rPr>
        <w:tab/>
      </w:r>
      <w:r w:rsidRPr="004A2BD0">
        <w:rPr>
          <w:rFonts w:ascii="Times New Roman" w:hAnsi="Times New Roman" w:cs="Times New Roman"/>
          <w:sz w:val="24"/>
          <w:szCs w:val="24"/>
        </w:rPr>
        <w:t>Fees paid to permanent investors to ensure the ultimate sale of loans prior to the point of sale (Statement 62).</w:t>
      </w:r>
    </w:p>
    <w:p w:rsidR="00D13019" w:rsidRPr="004A2BD0" w:rsidRDefault="00D13019" w:rsidP="004A2BD0">
      <w:pPr>
        <w:spacing w:after="0" w:line="240" w:lineRule="auto"/>
        <w:rPr>
          <w:rFonts w:ascii="Times New Roman" w:hAnsi="Times New Roman" w:cs="Times New Roman"/>
          <w:sz w:val="24"/>
          <w:szCs w:val="24"/>
        </w:rPr>
      </w:pPr>
    </w:p>
    <w:p w:rsidR="004A2BD0" w:rsidRPr="00D13019" w:rsidRDefault="004A2BD0" w:rsidP="004A2BD0">
      <w:pPr>
        <w:spacing w:after="0" w:line="240" w:lineRule="auto"/>
        <w:rPr>
          <w:rFonts w:ascii="Times New Roman" w:hAnsi="Times New Roman" w:cs="Times New Roman"/>
          <w:i/>
          <w:sz w:val="24"/>
          <w:szCs w:val="24"/>
        </w:rPr>
      </w:pPr>
      <w:r w:rsidRPr="00D13019">
        <w:rPr>
          <w:rFonts w:ascii="Times New Roman" w:hAnsi="Times New Roman" w:cs="Times New Roman"/>
          <w:i/>
          <w:sz w:val="24"/>
          <w:szCs w:val="24"/>
        </w:rPr>
        <w:t>Outflows of Resources</w:t>
      </w:r>
    </w:p>
    <w:p w:rsidR="00D13019" w:rsidRDefault="00D13019" w:rsidP="004A2BD0">
      <w:pPr>
        <w:spacing w:after="0" w:line="240" w:lineRule="auto"/>
        <w:rPr>
          <w:rFonts w:ascii="Times New Roman" w:hAnsi="Times New Roman" w:cs="Times New Roman"/>
          <w:sz w:val="24"/>
          <w:szCs w:val="24"/>
        </w:rPr>
      </w:pPr>
    </w:p>
    <w:p w:rsidR="004A2BD0" w:rsidRPr="004A2BD0" w:rsidRDefault="004A2BD0" w:rsidP="00D13019">
      <w:pPr>
        <w:tabs>
          <w:tab w:val="left" w:pos="270"/>
        </w:tabs>
        <w:spacing w:after="0" w:line="240" w:lineRule="auto"/>
        <w:ind w:left="270" w:hanging="270"/>
        <w:rPr>
          <w:rFonts w:ascii="Times New Roman" w:hAnsi="Times New Roman" w:cs="Times New Roman"/>
          <w:sz w:val="24"/>
          <w:szCs w:val="24"/>
        </w:rPr>
      </w:pPr>
      <w:r w:rsidRPr="004A2BD0">
        <w:rPr>
          <w:rFonts w:ascii="Times New Roman" w:hAnsi="Times New Roman" w:cs="Times New Roman"/>
          <w:sz w:val="24"/>
          <w:szCs w:val="24"/>
        </w:rPr>
        <w:t xml:space="preserve">• </w:t>
      </w:r>
      <w:r w:rsidR="00D13019">
        <w:rPr>
          <w:rFonts w:ascii="Times New Roman" w:hAnsi="Times New Roman" w:cs="Times New Roman"/>
          <w:sz w:val="24"/>
          <w:szCs w:val="24"/>
        </w:rPr>
        <w:tab/>
      </w:r>
      <w:r w:rsidRPr="004A2BD0">
        <w:rPr>
          <w:rFonts w:ascii="Times New Roman" w:hAnsi="Times New Roman" w:cs="Times New Roman"/>
          <w:sz w:val="24"/>
          <w:szCs w:val="24"/>
        </w:rPr>
        <w:t xml:space="preserve">Acquisition costs for insurance entities and public entity risk pools (Statement 62 and Statement No. 10, </w:t>
      </w:r>
      <w:r w:rsidRPr="00D13019">
        <w:rPr>
          <w:rFonts w:ascii="Times New Roman" w:hAnsi="Times New Roman" w:cs="Times New Roman"/>
          <w:i/>
          <w:sz w:val="24"/>
          <w:szCs w:val="24"/>
        </w:rPr>
        <w:t>Accounting and Financial Reporting for Risk Financing and Related Insurance Issues</w:t>
      </w:r>
      <w:r w:rsidRPr="004A2BD0">
        <w:rPr>
          <w:rFonts w:ascii="Times New Roman" w:hAnsi="Times New Roman" w:cs="Times New Roman"/>
          <w:sz w:val="24"/>
          <w:szCs w:val="24"/>
        </w:rPr>
        <w:t>)</w:t>
      </w:r>
    </w:p>
    <w:p w:rsidR="004A2BD0" w:rsidRPr="004A2BD0" w:rsidRDefault="004A2BD0" w:rsidP="00D13019">
      <w:pPr>
        <w:tabs>
          <w:tab w:val="left" w:pos="270"/>
        </w:tabs>
        <w:spacing w:after="0" w:line="240" w:lineRule="auto"/>
        <w:ind w:left="270" w:hanging="270"/>
        <w:rPr>
          <w:rFonts w:ascii="Times New Roman" w:hAnsi="Times New Roman" w:cs="Times New Roman"/>
          <w:sz w:val="24"/>
          <w:szCs w:val="24"/>
        </w:rPr>
      </w:pPr>
      <w:r w:rsidRPr="004A2BD0">
        <w:rPr>
          <w:rFonts w:ascii="Times New Roman" w:hAnsi="Times New Roman" w:cs="Times New Roman"/>
          <w:sz w:val="24"/>
          <w:szCs w:val="24"/>
        </w:rPr>
        <w:t xml:space="preserve">• </w:t>
      </w:r>
      <w:r w:rsidR="00D13019">
        <w:rPr>
          <w:rFonts w:ascii="Times New Roman" w:hAnsi="Times New Roman" w:cs="Times New Roman"/>
          <w:sz w:val="24"/>
          <w:szCs w:val="24"/>
        </w:rPr>
        <w:tab/>
      </w:r>
      <w:r w:rsidRPr="004A2BD0">
        <w:rPr>
          <w:rFonts w:ascii="Times New Roman" w:hAnsi="Times New Roman" w:cs="Times New Roman"/>
          <w:sz w:val="24"/>
          <w:szCs w:val="24"/>
        </w:rPr>
        <w:t>Initial direct costs of operating leases (Statement 62)</w:t>
      </w:r>
    </w:p>
    <w:p w:rsidR="004A2BD0" w:rsidRPr="004A2BD0" w:rsidRDefault="004A2BD0" w:rsidP="00D13019">
      <w:pPr>
        <w:tabs>
          <w:tab w:val="left" w:pos="270"/>
        </w:tabs>
        <w:spacing w:after="0" w:line="240" w:lineRule="auto"/>
        <w:ind w:left="270" w:hanging="270"/>
        <w:rPr>
          <w:rFonts w:ascii="Times New Roman" w:hAnsi="Times New Roman" w:cs="Times New Roman"/>
          <w:sz w:val="24"/>
          <w:szCs w:val="24"/>
        </w:rPr>
      </w:pPr>
      <w:r w:rsidRPr="004A2BD0">
        <w:rPr>
          <w:rFonts w:ascii="Times New Roman" w:hAnsi="Times New Roman" w:cs="Times New Roman"/>
          <w:sz w:val="24"/>
          <w:szCs w:val="24"/>
        </w:rPr>
        <w:t xml:space="preserve">• </w:t>
      </w:r>
      <w:r w:rsidR="00D13019">
        <w:rPr>
          <w:rFonts w:ascii="Times New Roman" w:hAnsi="Times New Roman" w:cs="Times New Roman"/>
          <w:sz w:val="24"/>
          <w:szCs w:val="24"/>
        </w:rPr>
        <w:tab/>
      </w:r>
      <w:r w:rsidRPr="004A2BD0">
        <w:rPr>
          <w:rFonts w:ascii="Times New Roman" w:hAnsi="Times New Roman" w:cs="Times New Roman"/>
          <w:sz w:val="24"/>
          <w:szCs w:val="24"/>
        </w:rPr>
        <w:t>Debt issuance costs (Statement 62)</w:t>
      </w:r>
    </w:p>
    <w:p w:rsidR="004A2BD0" w:rsidRPr="004A2BD0" w:rsidRDefault="004A2BD0" w:rsidP="00D13019">
      <w:pPr>
        <w:tabs>
          <w:tab w:val="left" w:pos="270"/>
        </w:tabs>
        <w:spacing w:after="0" w:line="240" w:lineRule="auto"/>
        <w:ind w:left="270" w:hanging="270"/>
        <w:rPr>
          <w:rFonts w:ascii="Times New Roman" w:hAnsi="Times New Roman" w:cs="Times New Roman"/>
          <w:sz w:val="24"/>
          <w:szCs w:val="24"/>
        </w:rPr>
      </w:pPr>
      <w:r w:rsidRPr="004A2BD0">
        <w:rPr>
          <w:rFonts w:ascii="Times New Roman" w:hAnsi="Times New Roman" w:cs="Times New Roman"/>
          <w:sz w:val="24"/>
          <w:szCs w:val="24"/>
        </w:rPr>
        <w:t xml:space="preserve">• </w:t>
      </w:r>
      <w:r w:rsidR="00D13019">
        <w:rPr>
          <w:rFonts w:ascii="Times New Roman" w:hAnsi="Times New Roman" w:cs="Times New Roman"/>
          <w:sz w:val="24"/>
          <w:szCs w:val="24"/>
        </w:rPr>
        <w:tab/>
      </w:r>
      <w:r w:rsidRPr="004A2BD0">
        <w:rPr>
          <w:rFonts w:ascii="Times New Roman" w:hAnsi="Times New Roman" w:cs="Times New Roman"/>
          <w:sz w:val="24"/>
          <w:szCs w:val="24"/>
        </w:rPr>
        <w:t>Net balance (debit) of direct loan origination costs related to lending activities (Statement 62)</w:t>
      </w:r>
    </w:p>
    <w:p w:rsidR="004A2BD0" w:rsidRPr="004A2BD0" w:rsidRDefault="004A2BD0" w:rsidP="00D13019">
      <w:pPr>
        <w:tabs>
          <w:tab w:val="left" w:pos="270"/>
        </w:tabs>
        <w:spacing w:after="0" w:line="240" w:lineRule="auto"/>
        <w:ind w:left="270" w:hanging="270"/>
        <w:rPr>
          <w:rFonts w:ascii="Times New Roman" w:hAnsi="Times New Roman" w:cs="Times New Roman"/>
          <w:sz w:val="24"/>
          <w:szCs w:val="24"/>
        </w:rPr>
      </w:pPr>
      <w:r w:rsidRPr="004A2BD0">
        <w:rPr>
          <w:rFonts w:ascii="Times New Roman" w:hAnsi="Times New Roman" w:cs="Times New Roman"/>
          <w:sz w:val="24"/>
          <w:szCs w:val="24"/>
        </w:rPr>
        <w:t xml:space="preserve">• </w:t>
      </w:r>
      <w:r w:rsidR="00D13019">
        <w:rPr>
          <w:rFonts w:ascii="Times New Roman" w:hAnsi="Times New Roman" w:cs="Times New Roman"/>
          <w:sz w:val="24"/>
          <w:szCs w:val="24"/>
        </w:rPr>
        <w:tab/>
      </w:r>
      <w:r w:rsidRPr="004A2BD0">
        <w:rPr>
          <w:rFonts w:ascii="Times New Roman" w:hAnsi="Times New Roman" w:cs="Times New Roman"/>
          <w:sz w:val="24"/>
          <w:szCs w:val="24"/>
        </w:rPr>
        <w:t>Net balance (debit) of direct loan origination costs for mortgage loans held for investment (Statement 62)</w:t>
      </w:r>
    </w:p>
    <w:p w:rsidR="004A2BD0" w:rsidRPr="004A2BD0" w:rsidRDefault="004A2BD0" w:rsidP="00D13019">
      <w:pPr>
        <w:tabs>
          <w:tab w:val="left" w:pos="270"/>
        </w:tabs>
        <w:spacing w:after="0" w:line="240" w:lineRule="auto"/>
        <w:ind w:left="270" w:hanging="270"/>
        <w:rPr>
          <w:rFonts w:ascii="Times New Roman" w:hAnsi="Times New Roman" w:cs="Times New Roman"/>
          <w:sz w:val="24"/>
          <w:szCs w:val="24"/>
        </w:rPr>
      </w:pPr>
      <w:r w:rsidRPr="004A2BD0">
        <w:rPr>
          <w:rFonts w:ascii="Times New Roman" w:hAnsi="Times New Roman" w:cs="Times New Roman"/>
          <w:sz w:val="24"/>
          <w:szCs w:val="24"/>
        </w:rPr>
        <w:t xml:space="preserve">• </w:t>
      </w:r>
      <w:r w:rsidR="00D13019">
        <w:rPr>
          <w:rFonts w:ascii="Times New Roman" w:hAnsi="Times New Roman" w:cs="Times New Roman"/>
          <w:sz w:val="24"/>
          <w:szCs w:val="24"/>
        </w:rPr>
        <w:tab/>
      </w:r>
      <w:r w:rsidRPr="004A2BD0">
        <w:rPr>
          <w:rFonts w:ascii="Times New Roman" w:hAnsi="Times New Roman" w:cs="Times New Roman"/>
          <w:sz w:val="24"/>
          <w:szCs w:val="24"/>
        </w:rPr>
        <w:t>Net balance (debit) of direct loan origination costs for mortgage loans held for resale after the sale occurs (Statement 62)</w:t>
      </w:r>
    </w:p>
    <w:p w:rsidR="004A2BD0" w:rsidRPr="004A2BD0" w:rsidRDefault="004A2BD0" w:rsidP="00D13019">
      <w:pPr>
        <w:tabs>
          <w:tab w:val="left" w:pos="270"/>
        </w:tabs>
        <w:spacing w:after="0" w:line="240" w:lineRule="auto"/>
        <w:ind w:left="270" w:hanging="270"/>
        <w:rPr>
          <w:rFonts w:ascii="Times New Roman" w:hAnsi="Times New Roman" w:cs="Times New Roman"/>
          <w:sz w:val="24"/>
          <w:szCs w:val="24"/>
        </w:rPr>
      </w:pPr>
      <w:r w:rsidRPr="004A2BD0">
        <w:rPr>
          <w:rFonts w:ascii="Times New Roman" w:hAnsi="Times New Roman" w:cs="Times New Roman"/>
          <w:sz w:val="24"/>
          <w:szCs w:val="24"/>
        </w:rPr>
        <w:t xml:space="preserve">• </w:t>
      </w:r>
      <w:r w:rsidR="00D13019">
        <w:rPr>
          <w:rFonts w:ascii="Times New Roman" w:hAnsi="Times New Roman" w:cs="Times New Roman"/>
          <w:sz w:val="24"/>
          <w:szCs w:val="24"/>
        </w:rPr>
        <w:tab/>
      </w:r>
      <w:r w:rsidRPr="004A2BD0">
        <w:rPr>
          <w:rFonts w:ascii="Times New Roman" w:hAnsi="Times New Roman" w:cs="Times New Roman"/>
          <w:sz w:val="24"/>
          <w:szCs w:val="24"/>
        </w:rPr>
        <w:t>Fees paid to permanent investors to ensure the ultimate sale of loans after the ultimate sale occurs (Statement 62).</w:t>
      </w:r>
    </w:p>
    <w:p w:rsidR="00D13019" w:rsidRDefault="00D13019" w:rsidP="004A2BD0">
      <w:pPr>
        <w:spacing w:after="0" w:line="240" w:lineRule="auto"/>
        <w:rPr>
          <w:rFonts w:ascii="Times New Roman" w:hAnsi="Times New Roman" w:cs="Times New Roman"/>
          <w:sz w:val="24"/>
          <w:szCs w:val="24"/>
        </w:rPr>
      </w:pPr>
    </w:p>
    <w:p w:rsidR="004A2BD0" w:rsidRPr="00D13019" w:rsidRDefault="004A2BD0" w:rsidP="004A2BD0">
      <w:pPr>
        <w:spacing w:after="0" w:line="240" w:lineRule="auto"/>
        <w:rPr>
          <w:rFonts w:ascii="Times New Roman" w:hAnsi="Times New Roman" w:cs="Times New Roman"/>
          <w:i/>
          <w:sz w:val="24"/>
          <w:szCs w:val="24"/>
        </w:rPr>
      </w:pPr>
      <w:r w:rsidRPr="00D13019">
        <w:rPr>
          <w:rFonts w:ascii="Times New Roman" w:hAnsi="Times New Roman" w:cs="Times New Roman"/>
          <w:i/>
          <w:sz w:val="24"/>
          <w:szCs w:val="24"/>
        </w:rPr>
        <w:t>Liabilities</w:t>
      </w:r>
    </w:p>
    <w:p w:rsidR="00D13019" w:rsidRDefault="00D13019" w:rsidP="004A2BD0">
      <w:pPr>
        <w:spacing w:after="0" w:line="240" w:lineRule="auto"/>
        <w:rPr>
          <w:rFonts w:ascii="Times New Roman" w:hAnsi="Times New Roman" w:cs="Times New Roman"/>
          <w:sz w:val="24"/>
          <w:szCs w:val="24"/>
        </w:rPr>
      </w:pPr>
    </w:p>
    <w:p w:rsidR="004A2BD0" w:rsidRPr="004A2BD0" w:rsidRDefault="004A2BD0" w:rsidP="00D13019">
      <w:pPr>
        <w:tabs>
          <w:tab w:val="left" w:pos="270"/>
        </w:tabs>
        <w:spacing w:after="0" w:line="240" w:lineRule="auto"/>
        <w:ind w:left="270" w:hanging="270"/>
        <w:rPr>
          <w:rFonts w:ascii="Times New Roman" w:hAnsi="Times New Roman" w:cs="Times New Roman"/>
          <w:sz w:val="24"/>
          <w:szCs w:val="24"/>
        </w:rPr>
      </w:pPr>
      <w:r w:rsidRPr="004A2BD0">
        <w:rPr>
          <w:rFonts w:ascii="Times New Roman" w:hAnsi="Times New Roman" w:cs="Times New Roman"/>
          <w:sz w:val="24"/>
          <w:szCs w:val="24"/>
        </w:rPr>
        <w:t xml:space="preserve">• </w:t>
      </w:r>
      <w:r w:rsidR="00D13019">
        <w:rPr>
          <w:rFonts w:ascii="Times New Roman" w:hAnsi="Times New Roman" w:cs="Times New Roman"/>
          <w:sz w:val="24"/>
          <w:szCs w:val="24"/>
        </w:rPr>
        <w:tab/>
      </w:r>
      <w:r w:rsidRPr="004A2BD0">
        <w:rPr>
          <w:rFonts w:ascii="Times New Roman" w:hAnsi="Times New Roman" w:cs="Times New Roman"/>
          <w:sz w:val="24"/>
          <w:szCs w:val="24"/>
        </w:rPr>
        <w:t>Commitment fees charged for entering into an agreement that obligates the government to make or acquire a loan or to satisfy an obligation of the other party under a specified condition (Statement 62)</w:t>
      </w:r>
    </w:p>
    <w:p w:rsidR="004A2BD0" w:rsidRPr="004A2BD0" w:rsidRDefault="004A2BD0" w:rsidP="00D13019">
      <w:pPr>
        <w:tabs>
          <w:tab w:val="left" w:pos="270"/>
        </w:tabs>
        <w:spacing w:after="0" w:line="240" w:lineRule="auto"/>
        <w:ind w:left="270" w:hanging="270"/>
        <w:rPr>
          <w:rFonts w:ascii="Times New Roman" w:hAnsi="Times New Roman" w:cs="Times New Roman"/>
          <w:sz w:val="24"/>
          <w:szCs w:val="24"/>
        </w:rPr>
      </w:pPr>
      <w:r w:rsidRPr="004A2BD0">
        <w:rPr>
          <w:rFonts w:ascii="Times New Roman" w:hAnsi="Times New Roman" w:cs="Times New Roman"/>
          <w:sz w:val="24"/>
          <w:szCs w:val="24"/>
        </w:rPr>
        <w:t xml:space="preserve">• </w:t>
      </w:r>
      <w:r w:rsidR="00D13019">
        <w:rPr>
          <w:rFonts w:ascii="Times New Roman" w:hAnsi="Times New Roman" w:cs="Times New Roman"/>
          <w:sz w:val="24"/>
          <w:szCs w:val="24"/>
        </w:rPr>
        <w:tab/>
      </w:r>
      <w:r w:rsidRPr="004A2BD0">
        <w:rPr>
          <w:rFonts w:ascii="Times New Roman" w:hAnsi="Times New Roman" w:cs="Times New Roman"/>
          <w:sz w:val="24"/>
          <w:szCs w:val="24"/>
        </w:rPr>
        <w:t>Fees that are received for guaranteeing the funding of mortgage loans (Statement 62).</w:t>
      </w:r>
    </w:p>
    <w:p w:rsidR="00D13019" w:rsidRDefault="00D13019" w:rsidP="004A2BD0">
      <w:pPr>
        <w:spacing w:after="0" w:line="240" w:lineRule="auto"/>
        <w:rPr>
          <w:rFonts w:ascii="Times New Roman" w:hAnsi="Times New Roman" w:cs="Times New Roman"/>
          <w:sz w:val="24"/>
          <w:szCs w:val="24"/>
        </w:rPr>
      </w:pPr>
    </w:p>
    <w:p w:rsidR="004A2BD0" w:rsidRPr="00D13019" w:rsidRDefault="004A2BD0" w:rsidP="004A2BD0">
      <w:pPr>
        <w:spacing w:after="0" w:line="240" w:lineRule="auto"/>
        <w:rPr>
          <w:rFonts w:ascii="Times New Roman" w:hAnsi="Times New Roman" w:cs="Times New Roman"/>
          <w:i/>
          <w:sz w:val="24"/>
          <w:szCs w:val="24"/>
        </w:rPr>
      </w:pPr>
      <w:r w:rsidRPr="00D13019">
        <w:rPr>
          <w:rFonts w:ascii="Times New Roman" w:hAnsi="Times New Roman" w:cs="Times New Roman"/>
          <w:i/>
          <w:sz w:val="24"/>
          <w:szCs w:val="24"/>
        </w:rPr>
        <w:t xml:space="preserve">Deferred Inflows of Resources </w:t>
      </w:r>
    </w:p>
    <w:p w:rsidR="00D13019" w:rsidRDefault="00D13019" w:rsidP="004A2BD0">
      <w:pPr>
        <w:spacing w:after="0" w:line="240" w:lineRule="auto"/>
        <w:rPr>
          <w:rFonts w:ascii="Times New Roman" w:hAnsi="Times New Roman" w:cs="Times New Roman"/>
          <w:sz w:val="24"/>
          <w:szCs w:val="24"/>
        </w:rPr>
      </w:pPr>
    </w:p>
    <w:p w:rsidR="004A2BD0" w:rsidRPr="004A2BD0" w:rsidRDefault="004A2BD0" w:rsidP="00D13019">
      <w:pPr>
        <w:tabs>
          <w:tab w:val="left" w:pos="270"/>
        </w:tabs>
        <w:spacing w:after="0" w:line="240" w:lineRule="auto"/>
        <w:ind w:left="270" w:hanging="270"/>
        <w:rPr>
          <w:rFonts w:ascii="Times New Roman" w:hAnsi="Times New Roman" w:cs="Times New Roman"/>
          <w:sz w:val="24"/>
          <w:szCs w:val="24"/>
        </w:rPr>
      </w:pPr>
      <w:r w:rsidRPr="004A2BD0">
        <w:rPr>
          <w:rFonts w:ascii="Times New Roman" w:hAnsi="Times New Roman" w:cs="Times New Roman"/>
          <w:sz w:val="24"/>
          <w:szCs w:val="24"/>
        </w:rPr>
        <w:t xml:space="preserve">• </w:t>
      </w:r>
      <w:r w:rsidR="00D13019">
        <w:rPr>
          <w:rFonts w:ascii="Times New Roman" w:hAnsi="Times New Roman" w:cs="Times New Roman"/>
          <w:sz w:val="24"/>
          <w:szCs w:val="24"/>
        </w:rPr>
        <w:tab/>
      </w:r>
      <w:r w:rsidRPr="004A2BD0">
        <w:rPr>
          <w:rFonts w:ascii="Times New Roman" w:hAnsi="Times New Roman" w:cs="Times New Roman"/>
          <w:sz w:val="24"/>
          <w:szCs w:val="24"/>
        </w:rPr>
        <w:t xml:space="preserve">Deferred revenue related to special assessments and other unavailable revenue related to the application of modified accrual accounting (Statements No. 6, </w:t>
      </w:r>
      <w:r w:rsidRPr="00D13019">
        <w:rPr>
          <w:rFonts w:ascii="Times New Roman" w:hAnsi="Times New Roman" w:cs="Times New Roman"/>
          <w:i/>
          <w:sz w:val="24"/>
          <w:szCs w:val="24"/>
        </w:rPr>
        <w:t>Accounting and Financial Reporting for Special Assessments,</w:t>
      </w:r>
      <w:r w:rsidRPr="004A2BD0">
        <w:rPr>
          <w:rFonts w:ascii="Times New Roman" w:hAnsi="Times New Roman" w:cs="Times New Roman"/>
          <w:sz w:val="24"/>
          <w:szCs w:val="24"/>
        </w:rPr>
        <w:t xml:space="preserve"> and No. 33, </w:t>
      </w:r>
      <w:r w:rsidRPr="00D13019">
        <w:rPr>
          <w:rFonts w:ascii="Times New Roman" w:hAnsi="Times New Roman" w:cs="Times New Roman"/>
          <w:i/>
          <w:sz w:val="24"/>
          <w:szCs w:val="24"/>
        </w:rPr>
        <w:t>Accounting and Financial Reporting for Nonexchange Transactions</w:t>
      </w:r>
      <w:r w:rsidRPr="004A2BD0">
        <w:rPr>
          <w:rFonts w:ascii="Times New Roman" w:hAnsi="Times New Roman" w:cs="Times New Roman"/>
          <w:sz w:val="24"/>
          <w:szCs w:val="24"/>
        </w:rPr>
        <w:t>)</w:t>
      </w:r>
    </w:p>
    <w:p w:rsidR="004A2BD0" w:rsidRPr="004A2BD0" w:rsidRDefault="004A2BD0" w:rsidP="00D13019">
      <w:pPr>
        <w:tabs>
          <w:tab w:val="left" w:pos="270"/>
        </w:tabs>
        <w:spacing w:after="0" w:line="240" w:lineRule="auto"/>
        <w:ind w:left="270" w:hanging="270"/>
        <w:rPr>
          <w:rFonts w:ascii="Times New Roman" w:hAnsi="Times New Roman" w:cs="Times New Roman"/>
          <w:sz w:val="24"/>
          <w:szCs w:val="24"/>
        </w:rPr>
      </w:pPr>
      <w:r w:rsidRPr="004A2BD0">
        <w:rPr>
          <w:rFonts w:ascii="Times New Roman" w:hAnsi="Times New Roman" w:cs="Times New Roman"/>
          <w:sz w:val="24"/>
          <w:szCs w:val="24"/>
        </w:rPr>
        <w:t xml:space="preserve">• </w:t>
      </w:r>
      <w:r w:rsidR="00D13019">
        <w:rPr>
          <w:rFonts w:ascii="Times New Roman" w:hAnsi="Times New Roman" w:cs="Times New Roman"/>
          <w:sz w:val="24"/>
          <w:szCs w:val="24"/>
        </w:rPr>
        <w:tab/>
      </w:r>
      <w:r w:rsidRPr="004A2BD0">
        <w:rPr>
          <w:rFonts w:ascii="Times New Roman" w:hAnsi="Times New Roman" w:cs="Times New Roman"/>
          <w:sz w:val="24"/>
          <w:szCs w:val="24"/>
        </w:rPr>
        <w:t>Net investment in capital leases—accounting for sales-type and direct financing leases by the lessor (Statement 62)</w:t>
      </w:r>
    </w:p>
    <w:p w:rsidR="004A2BD0" w:rsidRPr="004A2BD0" w:rsidRDefault="004A2BD0" w:rsidP="00D13019">
      <w:pPr>
        <w:tabs>
          <w:tab w:val="left" w:pos="270"/>
        </w:tabs>
        <w:spacing w:after="0" w:line="240" w:lineRule="auto"/>
        <w:ind w:left="270" w:hanging="270"/>
        <w:rPr>
          <w:rFonts w:ascii="Times New Roman" w:hAnsi="Times New Roman" w:cs="Times New Roman"/>
          <w:sz w:val="24"/>
          <w:szCs w:val="24"/>
        </w:rPr>
      </w:pPr>
      <w:r w:rsidRPr="004A2BD0">
        <w:rPr>
          <w:rFonts w:ascii="Times New Roman" w:hAnsi="Times New Roman" w:cs="Times New Roman"/>
          <w:sz w:val="24"/>
          <w:szCs w:val="24"/>
        </w:rPr>
        <w:t xml:space="preserve">• </w:t>
      </w:r>
      <w:r w:rsidR="00D13019">
        <w:rPr>
          <w:rFonts w:ascii="Times New Roman" w:hAnsi="Times New Roman" w:cs="Times New Roman"/>
          <w:sz w:val="24"/>
          <w:szCs w:val="24"/>
        </w:rPr>
        <w:tab/>
      </w:r>
      <w:r w:rsidRPr="004A2BD0">
        <w:rPr>
          <w:rFonts w:ascii="Times New Roman" w:hAnsi="Times New Roman" w:cs="Times New Roman"/>
          <w:sz w:val="24"/>
          <w:szCs w:val="24"/>
        </w:rPr>
        <w:t>Deferred gain resulting from sale-leaseback transactions (Statement 62)</w:t>
      </w:r>
    </w:p>
    <w:p w:rsidR="004A2BD0" w:rsidRPr="004A2BD0" w:rsidRDefault="004A2BD0" w:rsidP="00D13019">
      <w:pPr>
        <w:tabs>
          <w:tab w:val="left" w:pos="270"/>
        </w:tabs>
        <w:spacing w:after="0" w:line="240" w:lineRule="auto"/>
        <w:ind w:left="270" w:hanging="270"/>
        <w:rPr>
          <w:rFonts w:ascii="Times New Roman" w:hAnsi="Times New Roman" w:cs="Times New Roman"/>
          <w:sz w:val="24"/>
          <w:szCs w:val="24"/>
        </w:rPr>
      </w:pPr>
      <w:r w:rsidRPr="004A2BD0">
        <w:rPr>
          <w:rFonts w:ascii="Times New Roman" w:hAnsi="Times New Roman" w:cs="Times New Roman"/>
          <w:sz w:val="24"/>
          <w:szCs w:val="24"/>
        </w:rPr>
        <w:t xml:space="preserve">• </w:t>
      </w:r>
      <w:r w:rsidR="00D13019">
        <w:rPr>
          <w:rFonts w:ascii="Times New Roman" w:hAnsi="Times New Roman" w:cs="Times New Roman"/>
          <w:sz w:val="24"/>
          <w:szCs w:val="24"/>
        </w:rPr>
        <w:tab/>
      </w:r>
      <w:r w:rsidRPr="004A2BD0">
        <w:rPr>
          <w:rFonts w:ascii="Times New Roman" w:hAnsi="Times New Roman" w:cs="Times New Roman"/>
          <w:sz w:val="24"/>
          <w:szCs w:val="24"/>
        </w:rPr>
        <w:t>The difference resulting from underpayment of the initial investment to purchase a loan or group of loans relative to the principle amount of the related loan or loans at the date of purchase (Statement 62)</w:t>
      </w:r>
    </w:p>
    <w:p w:rsidR="004A2BD0" w:rsidRPr="004A2BD0" w:rsidRDefault="004A2BD0" w:rsidP="00D13019">
      <w:pPr>
        <w:tabs>
          <w:tab w:val="left" w:pos="270"/>
        </w:tabs>
        <w:spacing w:after="0" w:line="240" w:lineRule="auto"/>
        <w:ind w:left="270" w:hanging="270"/>
        <w:rPr>
          <w:rFonts w:ascii="Times New Roman" w:hAnsi="Times New Roman" w:cs="Times New Roman"/>
          <w:sz w:val="24"/>
          <w:szCs w:val="24"/>
        </w:rPr>
      </w:pPr>
      <w:r w:rsidRPr="004A2BD0">
        <w:rPr>
          <w:rFonts w:ascii="Times New Roman" w:hAnsi="Times New Roman" w:cs="Times New Roman"/>
          <w:sz w:val="24"/>
          <w:szCs w:val="24"/>
        </w:rPr>
        <w:t xml:space="preserve">• </w:t>
      </w:r>
      <w:r w:rsidR="00D13019">
        <w:rPr>
          <w:rFonts w:ascii="Times New Roman" w:hAnsi="Times New Roman" w:cs="Times New Roman"/>
          <w:sz w:val="24"/>
          <w:szCs w:val="24"/>
        </w:rPr>
        <w:tab/>
      </w:r>
      <w:r w:rsidRPr="004A2BD0">
        <w:rPr>
          <w:rFonts w:ascii="Times New Roman" w:hAnsi="Times New Roman" w:cs="Times New Roman"/>
          <w:sz w:val="24"/>
          <w:szCs w:val="24"/>
        </w:rPr>
        <w:t>Net balance (credit) of loan origination fees for mortgage loans held for resale prior to the point of sale (Statement 62)</w:t>
      </w:r>
    </w:p>
    <w:p w:rsidR="004A2BD0" w:rsidRPr="004A2BD0" w:rsidRDefault="004A2BD0" w:rsidP="00D13019">
      <w:pPr>
        <w:tabs>
          <w:tab w:val="left" w:pos="270"/>
        </w:tabs>
        <w:spacing w:after="0" w:line="240" w:lineRule="auto"/>
        <w:ind w:left="270" w:hanging="270"/>
        <w:rPr>
          <w:rFonts w:ascii="Times New Roman" w:hAnsi="Times New Roman" w:cs="Times New Roman"/>
          <w:sz w:val="24"/>
          <w:szCs w:val="24"/>
        </w:rPr>
      </w:pPr>
      <w:r w:rsidRPr="004A2BD0">
        <w:rPr>
          <w:rFonts w:ascii="Times New Roman" w:hAnsi="Times New Roman" w:cs="Times New Roman"/>
          <w:sz w:val="24"/>
          <w:szCs w:val="24"/>
        </w:rPr>
        <w:t xml:space="preserve">• </w:t>
      </w:r>
      <w:r w:rsidR="00D13019">
        <w:rPr>
          <w:rFonts w:ascii="Times New Roman" w:hAnsi="Times New Roman" w:cs="Times New Roman"/>
          <w:sz w:val="24"/>
          <w:szCs w:val="24"/>
        </w:rPr>
        <w:tab/>
      </w:r>
      <w:r w:rsidRPr="004A2BD0">
        <w:rPr>
          <w:rFonts w:ascii="Times New Roman" w:hAnsi="Times New Roman" w:cs="Times New Roman"/>
          <w:sz w:val="24"/>
          <w:szCs w:val="24"/>
        </w:rPr>
        <w:t>Fees received for arranging a commitment directly between a permanent investor and a borrower (Statement 62).</w:t>
      </w:r>
    </w:p>
    <w:p w:rsidR="00D13019" w:rsidRDefault="00D13019" w:rsidP="004A2BD0">
      <w:pPr>
        <w:spacing w:after="0" w:line="240" w:lineRule="auto"/>
        <w:rPr>
          <w:rFonts w:ascii="Times New Roman" w:hAnsi="Times New Roman" w:cs="Times New Roman"/>
          <w:sz w:val="24"/>
          <w:szCs w:val="24"/>
        </w:rPr>
      </w:pPr>
    </w:p>
    <w:p w:rsidR="004A2BD0" w:rsidRPr="00D13019" w:rsidRDefault="004A2BD0" w:rsidP="004A2BD0">
      <w:pPr>
        <w:spacing w:after="0" w:line="240" w:lineRule="auto"/>
        <w:rPr>
          <w:rFonts w:ascii="Times New Roman" w:hAnsi="Times New Roman" w:cs="Times New Roman"/>
          <w:i/>
          <w:sz w:val="24"/>
          <w:szCs w:val="24"/>
        </w:rPr>
      </w:pPr>
      <w:r w:rsidRPr="00D13019">
        <w:rPr>
          <w:rFonts w:ascii="Times New Roman" w:hAnsi="Times New Roman" w:cs="Times New Roman"/>
          <w:i/>
          <w:sz w:val="24"/>
          <w:szCs w:val="24"/>
        </w:rPr>
        <w:t xml:space="preserve">Inflows of Resources </w:t>
      </w:r>
    </w:p>
    <w:p w:rsidR="00D13019" w:rsidRDefault="00D13019" w:rsidP="004A2BD0">
      <w:pPr>
        <w:spacing w:after="0" w:line="240" w:lineRule="auto"/>
        <w:rPr>
          <w:rFonts w:ascii="Times New Roman" w:hAnsi="Times New Roman" w:cs="Times New Roman"/>
          <w:sz w:val="24"/>
          <w:szCs w:val="24"/>
        </w:rPr>
      </w:pPr>
    </w:p>
    <w:p w:rsidR="004A2BD0" w:rsidRPr="004A2BD0" w:rsidRDefault="004A2BD0" w:rsidP="00D13019">
      <w:pPr>
        <w:tabs>
          <w:tab w:val="left" w:pos="270"/>
        </w:tabs>
        <w:spacing w:after="0" w:line="240" w:lineRule="auto"/>
        <w:ind w:left="270" w:hanging="270"/>
        <w:rPr>
          <w:rFonts w:ascii="Times New Roman" w:hAnsi="Times New Roman" w:cs="Times New Roman"/>
          <w:sz w:val="24"/>
          <w:szCs w:val="24"/>
        </w:rPr>
      </w:pPr>
      <w:r w:rsidRPr="004A2BD0">
        <w:rPr>
          <w:rFonts w:ascii="Times New Roman" w:hAnsi="Times New Roman" w:cs="Times New Roman"/>
          <w:sz w:val="24"/>
          <w:szCs w:val="24"/>
        </w:rPr>
        <w:t xml:space="preserve">• </w:t>
      </w:r>
      <w:r w:rsidR="00D13019">
        <w:rPr>
          <w:rFonts w:ascii="Times New Roman" w:hAnsi="Times New Roman" w:cs="Times New Roman"/>
          <w:sz w:val="24"/>
          <w:szCs w:val="24"/>
        </w:rPr>
        <w:tab/>
      </w:r>
      <w:r w:rsidRPr="004A2BD0">
        <w:rPr>
          <w:rFonts w:ascii="Times New Roman" w:hAnsi="Times New Roman" w:cs="Times New Roman"/>
          <w:sz w:val="24"/>
          <w:szCs w:val="24"/>
        </w:rPr>
        <w:t>Net balance (credit) of loan origination fees related to lending activities (Statement 62)</w:t>
      </w:r>
    </w:p>
    <w:p w:rsidR="004A2BD0" w:rsidRPr="004A2BD0" w:rsidRDefault="004A2BD0" w:rsidP="00D13019">
      <w:pPr>
        <w:tabs>
          <w:tab w:val="left" w:pos="270"/>
        </w:tabs>
        <w:spacing w:after="0" w:line="240" w:lineRule="auto"/>
        <w:ind w:left="270" w:hanging="270"/>
        <w:rPr>
          <w:rFonts w:ascii="Times New Roman" w:hAnsi="Times New Roman" w:cs="Times New Roman"/>
          <w:sz w:val="24"/>
          <w:szCs w:val="24"/>
        </w:rPr>
      </w:pPr>
      <w:r w:rsidRPr="004A2BD0">
        <w:rPr>
          <w:rFonts w:ascii="Times New Roman" w:hAnsi="Times New Roman" w:cs="Times New Roman"/>
          <w:sz w:val="24"/>
          <w:szCs w:val="24"/>
        </w:rPr>
        <w:t xml:space="preserve">• </w:t>
      </w:r>
      <w:r w:rsidR="00D13019">
        <w:rPr>
          <w:rFonts w:ascii="Times New Roman" w:hAnsi="Times New Roman" w:cs="Times New Roman"/>
          <w:sz w:val="24"/>
          <w:szCs w:val="24"/>
        </w:rPr>
        <w:tab/>
      </w:r>
      <w:r w:rsidRPr="004A2BD0">
        <w:rPr>
          <w:rFonts w:ascii="Times New Roman" w:hAnsi="Times New Roman" w:cs="Times New Roman"/>
          <w:sz w:val="24"/>
          <w:szCs w:val="24"/>
        </w:rPr>
        <w:t>Commitment fees realized upon exercise or expiration of the commitment (Statement 62)</w:t>
      </w:r>
    </w:p>
    <w:p w:rsidR="004A2BD0" w:rsidRPr="004A2BD0" w:rsidRDefault="004A2BD0" w:rsidP="00D13019">
      <w:pPr>
        <w:tabs>
          <w:tab w:val="left" w:pos="270"/>
        </w:tabs>
        <w:spacing w:after="0" w:line="240" w:lineRule="auto"/>
        <w:ind w:left="270" w:hanging="270"/>
        <w:rPr>
          <w:rFonts w:ascii="Times New Roman" w:hAnsi="Times New Roman" w:cs="Times New Roman"/>
          <w:sz w:val="24"/>
          <w:szCs w:val="24"/>
        </w:rPr>
      </w:pPr>
      <w:r w:rsidRPr="004A2BD0">
        <w:rPr>
          <w:rFonts w:ascii="Times New Roman" w:hAnsi="Times New Roman" w:cs="Times New Roman"/>
          <w:sz w:val="24"/>
          <w:szCs w:val="24"/>
        </w:rPr>
        <w:t xml:space="preserve">• </w:t>
      </w:r>
      <w:r w:rsidR="00D13019">
        <w:rPr>
          <w:rFonts w:ascii="Times New Roman" w:hAnsi="Times New Roman" w:cs="Times New Roman"/>
          <w:sz w:val="24"/>
          <w:szCs w:val="24"/>
        </w:rPr>
        <w:tab/>
      </w:r>
      <w:r w:rsidRPr="004A2BD0">
        <w:rPr>
          <w:rFonts w:ascii="Times New Roman" w:hAnsi="Times New Roman" w:cs="Times New Roman"/>
          <w:sz w:val="24"/>
          <w:szCs w:val="24"/>
        </w:rPr>
        <w:t>Net balance (credit) of loan origination fees for mortgage loans held for investment (Statement 62)</w:t>
      </w:r>
    </w:p>
    <w:p w:rsidR="004A2BD0" w:rsidRPr="004A2BD0" w:rsidRDefault="004A2BD0" w:rsidP="00D13019">
      <w:pPr>
        <w:tabs>
          <w:tab w:val="left" w:pos="270"/>
        </w:tabs>
        <w:spacing w:after="0" w:line="240" w:lineRule="auto"/>
        <w:ind w:left="270" w:hanging="270"/>
        <w:rPr>
          <w:rFonts w:ascii="Times New Roman" w:hAnsi="Times New Roman" w:cs="Times New Roman"/>
          <w:sz w:val="24"/>
          <w:szCs w:val="24"/>
        </w:rPr>
      </w:pPr>
      <w:r w:rsidRPr="004A2BD0">
        <w:rPr>
          <w:rFonts w:ascii="Times New Roman" w:hAnsi="Times New Roman" w:cs="Times New Roman"/>
          <w:sz w:val="24"/>
          <w:szCs w:val="24"/>
        </w:rPr>
        <w:t xml:space="preserve">• </w:t>
      </w:r>
      <w:r w:rsidR="00D13019">
        <w:rPr>
          <w:rFonts w:ascii="Times New Roman" w:hAnsi="Times New Roman" w:cs="Times New Roman"/>
          <w:sz w:val="24"/>
          <w:szCs w:val="24"/>
        </w:rPr>
        <w:tab/>
      </w:r>
      <w:r w:rsidRPr="004A2BD0">
        <w:rPr>
          <w:rFonts w:ascii="Times New Roman" w:hAnsi="Times New Roman" w:cs="Times New Roman"/>
          <w:sz w:val="24"/>
          <w:szCs w:val="24"/>
        </w:rPr>
        <w:t>Net balance (credit) of loan origination fees for mortgage loans held for resale after the sale occurs (Statement 62)</w:t>
      </w:r>
    </w:p>
    <w:p w:rsidR="004A2BD0" w:rsidRPr="004A2BD0" w:rsidRDefault="004A2BD0" w:rsidP="00D13019">
      <w:pPr>
        <w:tabs>
          <w:tab w:val="left" w:pos="270"/>
        </w:tabs>
        <w:spacing w:after="0" w:line="240" w:lineRule="auto"/>
        <w:ind w:left="270" w:hanging="270"/>
        <w:rPr>
          <w:rFonts w:ascii="Times New Roman" w:hAnsi="Times New Roman" w:cs="Times New Roman"/>
          <w:sz w:val="24"/>
          <w:szCs w:val="24"/>
        </w:rPr>
      </w:pPr>
      <w:r w:rsidRPr="004A2BD0">
        <w:rPr>
          <w:rFonts w:ascii="Times New Roman" w:hAnsi="Times New Roman" w:cs="Times New Roman"/>
          <w:sz w:val="24"/>
          <w:szCs w:val="24"/>
        </w:rPr>
        <w:lastRenderedPageBreak/>
        <w:t xml:space="preserve">• </w:t>
      </w:r>
      <w:r w:rsidR="00D13019">
        <w:rPr>
          <w:rFonts w:ascii="Times New Roman" w:hAnsi="Times New Roman" w:cs="Times New Roman"/>
          <w:sz w:val="24"/>
          <w:szCs w:val="24"/>
        </w:rPr>
        <w:tab/>
      </w:r>
      <w:r w:rsidRPr="004A2BD0">
        <w:rPr>
          <w:rFonts w:ascii="Times New Roman" w:hAnsi="Times New Roman" w:cs="Times New Roman"/>
          <w:sz w:val="24"/>
          <w:szCs w:val="24"/>
        </w:rPr>
        <w:t>Fees that are realized after the funding of mortgage loans has occurred or after the commitment to guarantee the funding of mortgage loans expires (Statement 62)</w:t>
      </w:r>
    </w:p>
    <w:p w:rsidR="004A2BD0" w:rsidRPr="004A2BD0" w:rsidRDefault="004A2BD0" w:rsidP="00D13019">
      <w:pPr>
        <w:tabs>
          <w:tab w:val="left" w:pos="270"/>
        </w:tabs>
        <w:spacing w:after="0" w:line="240" w:lineRule="auto"/>
        <w:ind w:left="270" w:hanging="270"/>
        <w:rPr>
          <w:rFonts w:ascii="Times New Roman" w:hAnsi="Times New Roman" w:cs="Times New Roman"/>
          <w:sz w:val="24"/>
          <w:szCs w:val="24"/>
        </w:rPr>
      </w:pPr>
      <w:r w:rsidRPr="004A2BD0">
        <w:rPr>
          <w:rFonts w:ascii="Times New Roman" w:hAnsi="Times New Roman" w:cs="Times New Roman"/>
          <w:sz w:val="24"/>
          <w:szCs w:val="24"/>
        </w:rPr>
        <w:t xml:space="preserve">• </w:t>
      </w:r>
      <w:r w:rsidR="00D13019">
        <w:rPr>
          <w:rFonts w:ascii="Times New Roman" w:hAnsi="Times New Roman" w:cs="Times New Roman"/>
          <w:sz w:val="24"/>
          <w:szCs w:val="24"/>
        </w:rPr>
        <w:tab/>
      </w:r>
      <w:r w:rsidRPr="004A2BD0">
        <w:rPr>
          <w:rFonts w:ascii="Times New Roman" w:hAnsi="Times New Roman" w:cs="Times New Roman"/>
          <w:sz w:val="24"/>
          <w:szCs w:val="24"/>
        </w:rPr>
        <w:t>Fees realized when a commitment is arranged directly between a permanent investor and a borrower (Statement 62).</w:t>
      </w:r>
    </w:p>
    <w:p w:rsidR="004A2BD0" w:rsidRPr="004A2BD0" w:rsidRDefault="004A2BD0" w:rsidP="004A2BD0">
      <w:pPr>
        <w:spacing w:after="0" w:line="240" w:lineRule="auto"/>
        <w:rPr>
          <w:rFonts w:ascii="Times New Roman" w:hAnsi="Times New Roman" w:cs="Times New Roman"/>
          <w:sz w:val="24"/>
          <w:szCs w:val="24"/>
        </w:rPr>
      </w:pPr>
    </w:p>
    <w:p w:rsidR="004A2BD0" w:rsidRPr="00D13019" w:rsidRDefault="004A2BD0" w:rsidP="004A2BD0">
      <w:pPr>
        <w:spacing w:after="0" w:line="240" w:lineRule="auto"/>
        <w:rPr>
          <w:rFonts w:ascii="Times New Roman" w:hAnsi="Times New Roman" w:cs="Times New Roman"/>
          <w:b/>
          <w:i/>
          <w:sz w:val="24"/>
          <w:szCs w:val="24"/>
        </w:rPr>
      </w:pPr>
      <w:r w:rsidRPr="00D13019">
        <w:rPr>
          <w:rFonts w:ascii="Times New Roman" w:hAnsi="Times New Roman" w:cs="Times New Roman"/>
          <w:b/>
          <w:i/>
          <w:sz w:val="24"/>
          <w:szCs w:val="24"/>
        </w:rPr>
        <w:t>Financial Condition Reporting—Fiscal Sustainability</w:t>
      </w:r>
    </w:p>
    <w:p w:rsid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The Board discussed which basis or bases of accounting to use when projecting fiscal sustainability information and whether to include governmental activities, business-type activities, and component units when projecting fiscal sustainability information. The Board also discussed how to determine what is a “major” inflow of resources, outflow of resources, and financial obligation in relation to the specific measures of fiscal sustainability.</w:t>
      </w:r>
    </w:p>
    <w:p w:rsidR="00A73358" w:rsidRPr="004A2BD0" w:rsidRDefault="00A73358" w:rsidP="004A2BD0">
      <w:pPr>
        <w:spacing w:after="0" w:line="240" w:lineRule="auto"/>
        <w:rPr>
          <w:rFonts w:ascii="Times New Roman" w:hAnsi="Times New Roman" w:cs="Times New Roman"/>
          <w:sz w:val="24"/>
          <w:szCs w:val="24"/>
        </w:rPr>
      </w:pPr>
    </w:p>
    <w:p w:rsid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The Board reached a tentative agreement that the cash basis of accounting would be used when projecting cash inflows and cash outflows. The Board also reached a tentative agreement that the accrual basis of accounting would be used when projecting financial obligations. Further, the Board reached a tentative agreement that the reported fiscal sustainability information would include notes to explain those instances when the reported inflows and outflows on the cash basis does not reflect the full extent of the impacts on a governmental entity’s fiscal sustainability.</w:t>
      </w:r>
    </w:p>
    <w:p w:rsidR="00A73358" w:rsidRPr="004A2BD0" w:rsidRDefault="00A73358" w:rsidP="004A2BD0">
      <w:pPr>
        <w:spacing w:after="0" w:line="240" w:lineRule="auto"/>
        <w:rPr>
          <w:rFonts w:ascii="Times New Roman" w:hAnsi="Times New Roman" w:cs="Times New Roman"/>
          <w:sz w:val="24"/>
          <w:szCs w:val="24"/>
        </w:rPr>
      </w:pPr>
    </w:p>
    <w:p w:rsid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The Board reached a tentative agreement that fiscal sustainability information would be reported for the primary government, including both governmental activities and business-type activities with net subtotals (cash inflows less cash outflows) for governmental activities and business-type activities and a net total for the entire primary government. The Board also reached a tentative agreement that note disclosures within required supplementary information are necessary in instances when one or more activities are determined to significantly affect (positively or negatively) the fiscal sustainability of the primary government.</w:t>
      </w:r>
    </w:p>
    <w:p w:rsidR="00A73358" w:rsidRPr="004A2BD0" w:rsidRDefault="00A73358" w:rsidP="004A2BD0">
      <w:pPr>
        <w:spacing w:after="0" w:line="240" w:lineRule="auto"/>
        <w:rPr>
          <w:rFonts w:ascii="Times New Roman" w:hAnsi="Times New Roman" w:cs="Times New Roman"/>
          <w:sz w:val="24"/>
          <w:szCs w:val="24"/>
        </w:rPr>
      </w:pPr>
    </w:p>
    <w:p w:rsid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The Board reached a tentative agreement that governmental entities would not be required to report fiscal sustainability information about their discretely presented component units.</w:t>
      </w:r>
    </w:p>
    <w:p w:rsidR="00A73358" w:rsidRPr="004A2BD0" w:rsidRDefault="00A73358" w:rsidP="004A2BD0">
      <w:pPr>
        <w:spacing w:after="0" w:line="240" w:lineRule="auto"/>
        <w:rPr>
          <w:rFonts w:ascii="Times New Roman" w:hAnsi="Times New Roman" w:cs="Times New Roman"/>
          <w:sz w:val="24"/>
          <w:szCs w:val="24"/>
        </w:rPr>
      </w:pPr>
    </w:p>
    <w:p w:rsidR="004A2BD0" w:rsidRP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Finally, the Board reached a tentative agreement that in order for an individual cash inflow, cash outflow, and financial obligation to be considered “major,” it needs to represent at least 10 percent of total cash inflows, cash outflows, and financial obligations, respectively. The Board also reached a tentative agreement that any other cash inflow, cash outflow, and financial obligation that government officials believe is particularly important to users when making an assessment of a governmental entity’s fiscal sustainability would be reported as major.</w:t>
      </w:r>
    </w:p>
    <w:p w:rsidR="004A2BD0" w:rsidRPr="004A2BD0" w:rsidRDefault="004A2BD0" w:rsidP="004A2BD0">
      <w:pPr>
        <w:spacing w:after="0" w:line="240" w:lineRule="auto"/>
        <w:rPr>
          <w:rFonts w:ascii="Times New Roman" w:hAnsi="Times New Roman" w:cs="Times New Roman"/>
          <w:sz w:val="24"/>
          <w:szCs w:val="24"/>
        </w:rPr>
      </w:pPr>
    </w:p>
    <w:p w:rsidR="004A2BD0" w:rsidRPr="004A2BD0" w:rsidRDefault="004A2BD0" w:rsidP="004A2BD0">
      <w:pPr>
        <w:spacing w:after="0" w:line="240" w:lineRule="auto"/>
        <w:rPr>
          <w:rFonts w:ascii="Times New Roman" w:hAnsi="Times New Roman" w:cs="Times New Roman"/>
          <w:sz w:val="24"/>
          <w:szCs w:val="24"/>
        </w:rPr>
      </w:pPr>
    </w:p>
    <w:p w:rsidR="001654C6" w:rsidRDefault="001654C6" w:rsidP="001654C6">
      <w:pPr>
        <w:spacing w:after="0" w:line="240" w:lineRule="auto"/>
        <w:rPr>
          <w:rFonts w:ascii="Times New Roman" w:hAnsi="Times New Roman"/>
        </w:rPr>
      </w:pPr>
    </w:p>
    <w:p w:rsidR="001654C6" w:rsidRDefault="001654C6" w:rsidP="001654C6">
      <w:pPr>
        <w:spacing w:after="0" w:line="240" w:lineRule="auto"/>
        <w:rPr>
          <w:rFonts w:ascii="Times New Roman" w:hAnsi="Times New Roman"/>
        </w:rPr>
      </w:pPr>
    </w:p>
    <w:p w:rsidR="001654C6" w:rsidRDefault="001654C6" w:rsidP="001654C6">
      <w:pPr>
        <w:spacing w:after="0" w:line="240" w:lineRule="auto"/>
        <w:rPr>
          <w:rFonts w:ascii="Times New Roman" w:hAnsi="Times New Roman"/>
          <w:b/>
          <w:i/>
          <w:sz w:val="36"/>
          <w:szCs w:val="36"/>
        </w:rPr>
        <w:sectPr w:rsidR="001654C6" w:rsidSect="001654C6">
          <w:pgSz w:w="12240" w:h="15840"/>
          <w:pgMar w:top="1440" w:right="1440" w:bottom="1440" w:left="1440" w:header="720" w:footer="720" w:gutter="0"/>
          <w:cols w:space="720"/>
          <w:docGrid w:linePitch="360"/>
        </w:sectPr>
      </w:pPr>
    </w:p>
    <w:p w:rsidR="001654C6" w:rsidRPr="00C1468D" w:rsidRDefault="001654C6" w:rsidP="001654C6">
      <w:pPr>
        <w:pStyle w:val="BodyText2"/>
      </w:pPr>
      <w:r w:rsidRPr="00C1468D">
        <w:lastRenderedPageBreak/>
        <w:t>An overview of the GASB’s current technical agenda</w:t>
      </w:r>
    </w:p>
    <w:p w:rsidR="001654C6" w:rsidRPr="00C1468D" w:rsidRDefault="001654C6" w:rsidP="001654C6">
      <w:pPr>
        <w:spacing w:after="0" w:line="240" w:lineRule="auto"/>
        <w:rPr>
          <w:rFonts w:ascii="Times New Roman" w:hAnsi="Times New Roman"/>
        </w:rPr>
      </w:pPr>
    </w:p>
    <w:p w:rsidR="001654C6" w:rsidRPr="00C1468D" w:rsidRDefault="001654C6" w:rsidP="001654C6">
      <w:pPr>
        <w:spacing w:after="0" w:line="240" w:lineRule="auto"/>
        <w:rPr>
          <w:rFonts w:ascii="Times New Roman" w:hAnsi="Times New Roman"/>
        </w:rPr>
      </w:pPr>
    </w:p>
    <w:p w:rsidR="001654C6" w:rsidRPr="00C1468D" w:rsidRDefault="001654C6" w:rsidP="001654C6">
      <w:pPr>
        <w:pBdr>
          <w:top w:val="single" w:sz="24" w:space="0" w:color="auto"/>
        </w:pBdr>
        <w:tabs>
          <w:tab w:val="left" w:pos="360"/>
        </w:tabs>
        <w:spacing w:after="0" w:line="240" w:lineRule="auto"/>
        <w:jc w:val="both"/>
        <w:rPr>
          <w:rFonts w:ascii="Times New Roman" w:hAnsi="Times New Roman"/>
          <w:b/>
          <w:bCs/>
          <w:i/>
          <w:iCs/>
          <w:sz w:val="28"/>
        </w:rPr>
      </w:pPr>
    </w:p>
    <w:p w:rsidR="001654C6" w:rsidRPr="00C1468D" w:rsidRDefault="001654C6" w:rsidP="001654C6">
      <w:pPr>
        <w:tabs>
          <w:tab w:val="left" w:pos="360"/>
        </w:tabs>
        <w:spacing w:after="240" w:line="240" w:lineRule="auto"/>
        <w:jc w:val="both"/>
        <w:rPr>
          <w:rFonts w:ascii="Times New Roman" w:hAnsi="Times New Roman"/>
          <w:b/>
          <w:bCs/>
        </w:rPr>
      </w:pPr>
      <w:r w:rsidRPr="00C1468D">
        <w:rPr>
          <w:rFonts w:ascii="Times New Roman" w:hAnsi="Times New Roman"/>
          <w:b/>
          <w:bCs/>
          <w:i/>
          <w:iCs/>
          <w:sz w:val="28"/>
        </w:rPr>
        <w:t>GASB Current Technical Agenda: Overview</w:t>
      </w:r>
      <w:r w:rsidRPr="00C1468D">
        <w:rPr>
          <w:rFonts w:ascii="Times New Roman" w:hAnsi="Times New Roman"/>
          <w:b/>
          <w:bCs/>
        </w:rPr>
        <w:t xml:space="preserve"> </w:t>
      </w:r>
      <w:r w:rsidRPr="00C1468D">
        <w:rPr>
          <w:rFonts w:ascii="Times New Roman" w:hAnsi="Times New Roman"/>
        </w:rPr>
        <w:t xml:space="preserve">(As of </w:t>
      </w:r>
      <w:r>
        <w:rPr>
          <w:rFonts w:ascii="Times New Roman" w:hAnsi="Times New Roman"/>
        </w:rPr>
        <w:t>4</w:t>
      </w:r>
      <w:r w:rsidRPr="00C1468D">
        <w:rPr>
          <w:rFonts w:ascii="Times New Roman" w:hAnsi="Times New Roman"/>
        </w:rPr>
        <w:t>/</w:t>
      </w:r>
      <w:r>
        <w:rPr>
          <w:rFonts w:ascii="Times New Roman" w:hAnsi="Times New Roman"/>
        </w:rPr>
        <w:t>30</w:t>
      </w:r>
      <w:r w:rsidRPr="00C1468D">
        <w:rPr>
          <w:rFonts w:ascii="Times New Roman" w:hAnsi="Times New Roman"/>
        </w:rPr>
        <w:t>/</w:t>
      </w:r>
      <w:r>
        <w:rPr>
          <w:rFonts w:ascii="Times New Roman" w:hAnsi="Times New Roman"/>
        </w:rPr>
        <w:t>11</w:t>
      </w:r>
      <w:r w:rsidRPr="00C1468D">
        <w:rPr>
          <w:rFonts w:ascii="Times New Roman" w:hAnsi="Times New Roman"/>
        </w:rPr>
        <w:t>)</w:t>
      </w:r>
    </w:p>
    <w:p w:rsidR="001654C6" w:rsidRPr="00C1468D" w:rsidRDefault="001654C6" w:rsidP="001654C6">
      <w:pPr>
        <w:pBdr>
          <w:top w:val="single" w:sz="4" w:space="1" w:color="auto"/>
        </w:pBdr>
        <w:tabs>
          <w:tab w:val="left" w:pos="360"/>
        </w:tabs>
        <w:spacing w:after="0" w:line="240" w:lineRule="auto"/>
        <w:jc w:val="both"/>
        <w:rPr>
          <w:rFonts w:ascii="Times New Roman" w:hAnsi="Times New Roman"/>
          <w:b/>
          <w:bCs/>
        </w:rPr>
      </w:pPr>
    </w:p>
    <w:p w:rsidR="001654C6" w:rsidRPr="00C1468D" w:rsidRDefault="001654C6" w:rsidP="001654C6">
      <w:pPr>
        <w:tabs>
          <w:tab w:val="left" w:pos="2880"/>
          <w:tab w:val="left" w:pos="5670"/>
          <w:tab w:val="left" w:pos="8460"/>
          <w:tab w:val="left" w:pos="10440"/>
        </w:tabs>
        <w:spacing w:after="0" w:line="240" w:lineRule="auto"/>
        <w:rPr>
          <w:rFonts w:ascii="Times New Roman" w:hAnsi="Times New Roman"/>
          <w:b/>
          <w:bCs/>
        </w:rPr>
      </w:pPr>
      <w:r w:rsidRPr="00C1468D">
        <w:rPr>
          <w:rFonts w:ascii="Times New Roman" w:hAnsi="Times New Roman"/>
        </w:rPr>
        <w:tab/>
      </w:r>
      <w:r w:rsidRPr="00C1468D">
        <w:rPr>
          <w:rFonts w:ascii="Times New Roman" w:hAnsi="Times New Roman"/>
          <w:b/>
          <w:bCs/>
          <w:u w:val="single"/>
        </w:rPr>
        <w:t xml:space="preserve">               </w:t>
      </w:r>
      <w:r>
        <w:rPr>
          <w:rFonts w:ascii="Times New Roman" w:hAnsi="Times New Roman"/>
          <w:b/>
          <w:bCs/>
          <w:u w:val="single"/>
        </w:rPr>
        <w:t xml:space="preserve">  </w:t>
      </w:r>
      <w:r w:rsidRPr="00C1468D">
        <w:rPr>
          <w:rFonts w:ascii="Times New Roman" w:hAnsi="Times New Roman"/>
          <w:b/>
          <w:bCs/>
          <w:u w:val="single"/>
        </w:rPr>
        <w:t xml:space="preserve">     </w:t>
      </w:r>
      <w:r>
        <w:rPr>
          <w:rFonts w:ascii="Times New Roman" w:hAnsi="Times New Roman"/>
          <w:b/>
          <w:bCs/>
          <w:u w:val="single"/>
        </w:rPr>
        <w:t xml:space="preserve">          </w:t>
      </w:r>
      <w:r w:rsidRPr="00C1468D">
        <w:rPr>
          <w:rFonts w:ascii="Times New Roman" w:hAnsi="Times New Roman"/>
          <w:b/>
          <w:bCs/>
          <w:u w:val="single"/>
        </w:rPr>
        <w:t xml:space="preserve"> Issued</w:t>
      </w:r>
      <w:r w:rsidRPr="00C1468D">
        <w:rPr>
          <w:rFonts w:ascii="Times New Roman" w:hAnsi="Times New Roman"/>
          <w:b/>
          <w:bCs/>
        </w:rPr>
        <w:tab/>
      </w:r>
      <w:r w:rsidRPr="00C1468D">
        <w:rPr>
          <w:rFonts w:ascii="Times New Roman" w:hAnsi="Times New Roman"/>
          <w:b/>
          <w:bCs/>
          <w:u w:val="single"/>
        </w:rPr>
        <w:t xml:space="preserve">   </w:t>
      </w:r>
      <w:r>
        <w:rPr>
          <w:rFonts w:ascii="Times New Roman" w:hAnsi="Times New Roman"/>
          <w:b/>
          <w:bCs/>
          <w:u w:val="single"/>
        </w:rPr>
        <w:t xml:space="preserve">    </w:t>
      </w:r>
      <w:r w:rsidRPr="00C1468D">
        <w:rPr>
          <w:rFonts w:ascii="Times New Roman" w:hAnsi="Times New Roman"/>
          <w:b/>
          <w:bCs/>
          <w:u w:val="single"/>
        </w:rPr>
        <w:t xml:space="preserve">      </w:t>
      </w:r>
      <w:r>
        <w:rPr>
          <w:rFonts w:ascii="Times New Roman" w:hAnsi="Times New Roman"/>
          <w:b/>
          <w:bCs/>
          <w:u w:val="single"/>
        </w:rPr>
        <w:t xml:space="preserve"> </w:t>
      </w:r>
      <w:r w:rsidRPr="00C1468D">
        <w:rPr>
          <w:rFonts w:ascii="Times New Roman" w:hAnsi="Times New Roman"/>
          <w:b/>
          <w:bCs/>
          <w:u w:val="single"/>
        </w:rPr>
        <w:t xml:space="preserve">     </w:t>
      </w:r>
      <w:r w:rsidRPr="00C1468D">
        <w:rPr>
          <w:rFonts w:ascii="Times New Roman" w:hAnsi="Times New Roman"/>
          <w:u w:val="single"/>
        </w:rPr>
        <w:t xml:space="preserve"> </w:t>
      </w:r>
      <w:r>
        <w:rPr>
          <w:rFonts w:ascii="Times New Roman" w:hAnsi="Times New Roman"/>
          <w:u w:val="single"/>
        </w:rPr>
        <w:t xml:space="preserve">  </w:t>
      </w:r>
      <w:r w:rsidRPr="00C1468D">
        <w:rPr>
          <w:rFonts w:ascii="Times New Roman" w:hAnsi="Times New Roman"/>
          <w:u w:val="single"/>
        </w:rPr>
        <w:t xml:space="preserve">   </w:t>
      </w:r>
      <w:r w:rsidRPr="00C1468D">
        <w:rPr>
          <w:rFonts w:ascii="Times New Roman" w:hAnsi="Times New Roman"/>
          <w:b/>
          <w:bCs/>
          <w:u w:val="single"/>
        </w:rPr>
        <w:t>To Be Issued</w:t>
      </w:r>
      <w:r w:rsidRPr="00C1468D">
        <w:rPr>
          <w:rFonts w:ascii="Times New Roman" w:hAnsi="Times New Roman"/>
          <w:b/>
          <w:bCs/>
        </w:rPr>
        <w:tab/>
        <w:t>Staff/Consultant</w:t>
      </w:r>
      <w:r w:rsidRPr="00C1468D">
        <w:rPr>
          <w:rFonts w:ascii="Times New Roman" w:hAnsi="Times New Roman"/>
          <w:b/>
          <w:bCs/>
        </w:rPr>
        <w:tab/>
        <w:t xml:space="preserve"> Phone*</w:t>
      </w:r>
    </w:p>
    <w:p w:rsidR="001654C6" w:rsidRPr="00C1468D" w:rsidRDefault="001654C6" w:rsidP="001654C6">
      <w:pPr>
        <w:tabs>
          <w:tab w:val="left" w:pos="360"/>
          <w:tab w:val="left" w:pos="2880"/>
          <w:tab w:val="left" w:pos="4500"/>
          <w:tab w:val="left" w:pos="5670"/>
          <w:tab w:val="left" w:pos="7110"/>
          <w:tab w:val="left" w:pos="7740"/>
          <w:tab w:val="left" w:pos="8460"/>
          <w:tab w:val="left" w:pos="10260"/>
        </w:tabs>
        <w:spacing w:after="0" w:line="240" w:lineRule="auto"/>
        <w:rPr>
          <w:rFonts w:ascii="Times New Roman" w:hAnsi="Times New Roman"/>
          <w:b/>
          <w:bCs/>
        </w:rPr>
      </w:pPr>
      <w:r w:rsidRPr="00C1468D">
        <w:rPr>
          <w:rFonts w:ascii="Times New Roman" w:hAnsi="Times New Roman"/>
          <w:b/>
          <w:bCs/>
        </w:rPr>
        <w:t>Project</w:t>
      </w:r>
      <w:r w:rsidRPr="00C1468D">
        <w:rPr>
          <w:rFonts w:ascii="Times New Roman" w:hAnsi="Times New Roman"/>
          <w:b/>
          <w:bCs/>
        </w:rPr>
        <w:tab/>
        <w:t>ITC/PV</w:t>
      </w:r>
      <w:r w:rsidRPr="00C1468D">
        <w:rPr>
          <w:rFonts w:ascii="Times New Roman" w:hAnsi="Times New Roman"/>
          <w:b/>
          <w:bCs/>
        </w:rPr>
        <w:tab/>
      </w:r>
      <w:r>
        <w:rPr>
          <w:rFonts w:ascii="Times New Roman" w:hAnsi="Times New Roman"/>
          <w:b/>
          <w:bCs/>
        </w:rPr>
        <w:t xml:space="preserve">        </w:t>
      </w:r>
      <w:r w:rsidRPr="00C1468D">
        <w:rPr>
          <w:rFonts w:ascii="Times New Roman" w:hAnsi="Times New Roman"/>
          <w:b/>
          <w:bCs/>
        </w:rPr>
        <w:t>ED</w:t>
      </w:r>
      <w:r>
        <w:rPr>
          <w:rFonts w:ascii="Times New Roman" w:hAnsi="Times New Roman"/>
          <w:b/>
          <w:bCs/>
        </w:rPr>
        <w:tab/>
      </w:r>
      <w:r w:rsidRPr="00C1468D">
        <w:rPr>
          <w:rFonts w:ascii="Times New Roman" w:hAnsi="Times New Roman"/>
          <w:b/>
          <w:bCs/>
        </w:rPr>
        <w:t>ITC/PV</w:t>
      </w:r>
      <w:r>
        <w:rPr>
          <w:rFonts w:ascii="Times New Roman" w:hAnsi="Times New Roman"/>
          <w:b/>
          <w:bCs/>
        </w:rPr>
        <w:tab/>
      </w:r>
      <w:r w:rsidRPr="00C1468D">
        <w:rPr>
          <w:rFonts w:ascii="Times New Roman" w:hAnsi="Times New Roman"/>
          <w:b/>
          <w:bCs/>
        </w:rPr>
        <w:t>ED</w:t>
      </w:r>
      <w:r w:rsidRPr="00C1468D">
        <w:rPr>
          <w:rFonts w:ascii="Times New Roman" w:hAnsi="Times New Roman"/>
          <w:b/>
          <w:bCs/>
        </w:rPr>
        <w:tab/>
        <w:t>Final</w:t>
      </w:r>
      <w:r w:rsidRPr="00C1468D">
        <w:rPr>
          <w:rFonts w:ascii="Times New Roman" w:hAnsi="Times New Roman"/>
          <w:b/>
          <w:bCs/>
        </w:rPr>
        <w:tab/>
        <w:t>Assigned</w:t>
      </w:r>
      <w:r w:rsidRPr="00C1468D">
        <w:rPr>
          <w:rFonts w:ascii="Times New Roman" w:hAnsi="Times New Roman"/>
          <w:b/>
          <w:bCs/>
        </w:rPr>
        <w:tab/>
        <w:t>Extension</w:t>
      </w:r>
    </w:p>
    <w:p w:rsidR="001654C6" w:rsidRPr="00C1468D" w:rsidRDefault="001654C6" w:rsidP="001654C6">
      <w:pPr>
        <w:tabs>
          <w:tab w:val="left" w:pos="360"/>
          <w:tab w:val="left" w:pos="2880"/>
          <w:tab w:val="left" w:pos="4320"/>
          <w:tab w:val="left" w:pos="5220"/>
          <w:tab w:val="left" w:pos="7200"/>
          <w:tab w:val="left" w:pos="8100"/>
          <w:tab w:val="left" w:pos="8820"/>
          <w:tab w:val="left" w:pos="10260"/>
        </w:tabs>
        <w:spacing w:after="0" w:line="240" w:lineRule="auto"/>
        <w:rPr>
          <w:rFonts w:ascii="Times New Roman" w:hAnsi="Times New Roman"/>
          <w:sz w:val="20"/>
        </w:rPr>
      </w:pPr>
    </w:p>
    <w:p w:rsidR="001654C6" w:rsidRPr="0085502A" w:rsidRDefault="001654C6" w:rsidP="001654C6">
      <w:pPr>
        <w:shd w:val="clear" w:color="auto" w:fill="D9D9D9"/>
        <w:tabs>
          <w:tab w:val="left" w:pos="360"/>
          <w:tab w:val="left" w:pos="3960"/>
          <w:tab w:val="left" w:pos="4950"/>
          <w:tab w:val="left" w:pos="5850"/>
          <w:tab w:val="left" w:pos="7020"/>
          <w:tab w:val="left" w:pos="7830"/>
          <w:tab w:val="left" w:pos="8460"/>
          <w:tab w:val="left" w:pos="10800"/>
        </w:tabs>
        <w:spacing w:after="0" w:line="240" w:lineRule="auto"/>
        <w:rPr>
          <w:rFonts w:ascii="Times New Roman" w:hAnsi="Times New Roman"/>
          <w:sz w:val="20"/>
          <w:szCs w:val="20"/>
        </w:rPr>
      </w:pPr>
      <w:r w:rsidRPr="0085502A">
        <w:rPr>
          <w:rFonts w:ascii="Times New Roman" w:hAnsi="Times New Roman"/>
          <w:sz w:val="20"/>
          <w:szCs w:val="20"/>
        </w:rPr>
        <w:t>Conceptual Framework—Recognition</w:t>
      </w:r>
      <w:r>
        <w:rPr>
          <w:rFonts w:ascii="Times New Roman" w:hAnsi="Times New Roman"/>
          <w:sz w:val="20"/>
          <w:szCs w:val="20"/>
        </w:rPr>
        <w:tab/>
      </w:r>
      <w:r w:rsidRPr="0085502A">
        <w:rPr>
          <w:rFonts w:ascii="Times New Roman" w:hAnsi="Times New Roman"/>
          <w:sz w:val="20"/>
          <w:szCs w:val="20"/>
        </w:rPr>
        <w:t>—</w:t>
      </w:r>
      <w:r>
        <w:rPr>
          <w:rFonts w:ascii="Times New Roman" w:hAnsi="Times New Roman"/>
          <w:sz w:val="20"/>
          <w:szCs w:val="20"/>
        </w:rPr>
        <w:tab/>
      </w:r>
      <w:r w:rsidRPr="0085502A">
        <w:rPr>
          <w:rFonts w:ascii="Times New Roman" w:hAnsi="Times New Roman"/>
          <w:sz w:val="20"/>
          <w:szCs w:val="20"/>
        </w:rPr>
        <w:t>—</w:t>
      </w:r>
      <w:r>
        <w:rPr>
          <w:rFonts w:ascii="Times New Roman" w:hAnsi="Times New Roman"/>
          <w:sz w:val="20"/>
          <w:szCs w:val="20"/>
        </w:rPr>
        <w:tab/>
        <w:t>2</w:t>
      </w:r>
      <w:r w:rsidRPr="0085502A">
        <w:rPr>
          <w:rFonts w:ascii="Times New Roman" w:hAnsi="Times New Roman"/>
          <w:sz w:val="20"/>
          <w:szCs w:val="20"/>
        </w:rPr>
        <w:t>Q</w:t>
      </w:r>
      <w:r>
        <w:rPr>
          <w:rFonts w:ascii="Times New Roman" w:hAnsi="Times New Roman"/>
          <w:sz w:val="20"/>
          <w:szCs w:val="20"/>
        </w:rPr>
        <w:t>11</w:t>
      </w:r>
      <w:r>
        <w:rPr>
          <w:rFonts w:ascii="Times New Roman" w:hAnsi="Times New Roman"/>
          <w:sz w:val="20"/>
          <w:szCs w:val="20"/>
        </w:rPr>
        <w:tab/>
        <w:t>2</w:t>
      </w:r>
      <w:r w:rsidRPr="0085502A">
        <w:rPr>
          <w:rFonts w:ascii="Times New Roman" w:hAnsi="Times New Roman"/>
          <w:sz w:val="20"/>
          <w:szCs w:val="20"/>
        </w:rPr>
        <w:t>Q1</w:t>
      </w:r>
      <w:r>
        <w:rPr>
          <w:rFonts w:ascii="Times New Roman" w:hAnsi="Times New Roman"/>
          <w:sz w:val="20"/>
          <w:szCs w:val="20"/>
        </w:rPr>
        <w:t>2</w:t>
      </w:r>
      <w:r>
        <w:rPr>
          <w:rFonts w:ascii="Times New Roman" w:hAnsi="Times New Roman"/>
          <w:sz w:val="20"/>
          <w:szCs w:val="20"/>
        </w:rPr>
        <w:tab/>
        <w:t>1</w:t>
      </w:r>
      <w:r w:rsidRPr="0085502A">
        <w:rPr>
          <w:rFonts w:ascii="Times New Roman" w:hAnsi="Times New Roman"/>
          <w:sz w:val="20"/>
          <w:szCs w:val="20"/>
        </w:rPr>
        <w:t>Q</w:t>
      </w:r>
      <w:r>
        <w:rPr>
          <w:rFonts w:ascii="Times New Roman" w:hAnsi="Times New Roman"/>
          <w:sz w:val="20"/>
          <w:szCs w:val="20"/>
        </w:rPr>
        <w:t>13</w:t>
      </w:r>
      <w:r>
        <w:rPr>
          <w:rFonts w:ascii="Times New Roman" w:hAnsi="Times New Roman"/>
          <w:sz w:val="20"/>
          <w:szCs w:val="20"/>
        </w:rPr>
        <w:tab/>
        <w:t>Roberta Reese</w:t>
      </w:r>
      <w:r>
        <w:rPr>
          <w:rFonts w:ascii="Times New Roman" w:hAnsi="Times New Roman"/>
          <w:sz w:val="20"/>
          <w:szCs w:val="20"/>
        </w:rPr>
        <w:tab/>
        <w:t>324</w:t>
      </w:r>
    </w:p>
    <w:p w:rsidR="001654C6" w:rsidRPr="0085502A" w:rsidRDefault="001654C6" w:rsidP="001654C6">
      <w:pPr>
        <w:shd w:val="clear" w:color="auto" w:fill="D9D9D9"/>
        <w:tabs>
          <w:tab w:val="left" w:pos="36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sz w:val="20"/>
          <w:szCs w:val="20"/>
        </w:rPr>
      </w:pPr>
      <w:r>
        <w:rPr>
          <w:rFonts w:ascii="Times New Roman" w:hAnsi="Times New Roman"/>
          <w:sz w:val="20"/>
          <w:szCs w:val="20"/>
        </w:rPr>
        <w:t xml:space="preserve">  </w:t>
      </w:r>
      <w:r w:rsidRPr="0085502A">
        <w:rPr>
          <w:rFonts w:ascii="Times New Roman" w:hAnsi="Times New Roman"/>
          <w:sz w:val="20"/>
          <w:szCs w:val="20"/>
        </w:rPr>
        <w:t xml:space="preserve">and Measurement Attributes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85502A">
        <w:rPr>
          <w:rFonts w:ascii="Times New Roman" w:hAnsi="Times New Roman"/>
          <w:sz w:val="20"/>
          <w:szCs w:val="20"/>
        </w:rPr>
        <w:t>Ken Schermann</w:t>
      </w:r>
      <w:r w:rsidRPr="0085502A">
        <w:rPr>
          <w:rFonts w:ascii="Times New Roman" w:hAnsi="Times New Roman"/>
          <w:sz w:val="20"/>
          <w:szCs w:val="20"/>
        </w:rPr>
        <w:tab/>
        <w:t>206</w:t>
      </w:r>
    </w:p>
    <w:p w:rsidR="001654C6" w:rsidRDefault="001654C6" w:rsidP="001654C6">
      <w:pPr>
        <w:shd w:val="clear" w:color="auto" w:fill="D9D9D9"/>
        <w:tabs>
          <w:tab w:val="left" w:pos="36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Kathryn Price</w:t>
      </w:r>
      <w:r w:rsidRPr="0085502A">
        <w:rPr>
          <w:rFonts w:ascii="Times New Roman" w:hAnsi="Times New Roman"/>
          <w:sz w:val="20"/>
          <w:szCs w:val="20"/>
        </w:rPr>
        <w:tab/>
      </w:r>
      <w:r>
        <w:rPr>
          <w:rFonts w:ascii="Times New Roman" w:hAnsi="Times New Roman"/>
          <w:sz w:val="20"/>
          <w:szCs w:val="20"/>
        </w:rPr>
        <w:t>303</w:t>
      </w:r>
    </w:p>
    <w:p w:rsidR="001654C6" w:rsidRPr="0085502A" w:rsidRDefault="001654C6" w:rsidP="001654C6">
      <w:pPr>
        <w:tabs>
          <w:tab w:val="left" w:pos="360"/>
          <w:tab w:val="left" w:pos="3960"/>
          <w:tab w:val="left" w:pos="4950"/>
          <w:tab w:val="left" w:pos="5850"/>
          <w:tab w:val="left" w:pos="7020"/>
          <w:tab w:val="left" w:pos="7830"/>
          <w:tab w:val="left" w:pos="8460"/>
          <w:tab w:val="left" w:pos="10800"/>
        </w:tabs>
        <w:spacing w:before="120" w:after="0" w:line="240" w:lineRule="auto"/>
        <w:rPr>
          <w:rFonts w:ascii="Times New Roman" w:hAnsi="Times New Roman"/>
          <w:sz w:val="20"/>
          <w:szCs w:val="20"/>
        </w:rPr>
      </w:pPr>
      <w:r>
        <w:rPr>
          <w:rFonts w:ascii="Times New Roman" w:hAnsi="Times New Roman"/>
          <w:sz w:val="20"/>
          <w:szCs w:val="20"/>
        </w:rPr>
        <w:t>Economic Condition Reporting—</w:t>
      </w:r>
      <w:r>
        <w:rPr>
          <w:rFonts w:ascii="Times New Roman" w:hAnsi="Times New Roman"/>
          <w:sz w:val="20"/>
          <w:szCs w:val="20"/>
        </w:rPr>
        <w:tab/>
        <w:t>—</w:t>
      </w:r>
      <w:r>
        <w:rPr>
          <w:rFonts w:ascii="Times New Roman" w:hAnsi="Times New Roman"/>
          <w:sz w:val="20"/>
          <w:szCs w:val="20"/>
        </w:rPr>
        <w:tab/>
      </w:r>
      <w:r w:rsidRPr="0085502A">
        <w:rPr>
          <w:rFonts w:ascii="Times New Roman" w:hAnsi="Times New Roman"/>
          <w:sz w:val="20"/>
          <w:szCs w:val="20"/>
        </w:rPr>
        <w:t>—</w:t>
      </w:r>
      <w:r>
        <w:rPr>
          <w:rFonts w:ascii="Times New Roman" w:hAnsi="Times New Roman"/>
          <w:sz w:val="20"/>
          <w:szCs w:val="20"/>
        </w:rPr>
        <w:tab/>
        <w:t>4Q11</w:t>
      </w:r>
      <w:r>
        <w:rPr>
          <w:rFonts w:ascii="Times New Roman" w:hAnsi="Times New Roman"/>
          <w:sz w:val="20"/>
          <w:szCs w:val="20"/>
        </w:rPr>
        <w:tab/>
        <w:t>4Q12</w:t>
      </w:r>
      <w:r>
        <w:rPr>
          <w:rFonts w:ascii="Times New Roman" w:hAnsi="Times New Roman"/>
          <w:sz w:val="20"/>
          <w:szCs w:val="20"/>
        </w:rPr>
        <w:tab/>
        <w:t>3Q13</w:t>
      </w:r>
      <w:r>
        <w:rPr>
          <w:rFonts w:ascii="Times New Roman" w:hAnsi="Times New Roman"/>
          <w:sz w:val="20"/>
          <w:szCs w:val="20"/>
        </w:rPr>
        <w:tab/>
        <w:t>Lisa Parker</w:t>
      </w:r>
      <w:r w:rsidRPr="00610E16">
        <w:rPr>
          <w:rFonts w:ascii="Times New Roman" w:hAnsi="Times New Roman"/>
          <w:sz w:val="20"/>
        </w:rPr>
        <w:tab/>
      </w:r>
      <w:r>
        <w:rPr>
          <w:rFonts w:ascii="Times New Roman" w:hAnsi="Times New Roman"/>
          <w:sz w:val="20"/>
        </w:rPr>
        <w:t>351</w:t>
      </w:r>
    </w:p>
    <w:p w:rsidR="001654C6" w:rsidRPr="00610E16" w:rsidRDefault="001654C6" w:rsidP="001654C6">
      <w:pPr>
        <w:tabs>
          <w:tab w:val="left" w:pos="36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sz w:val="20"/>
        </w:rPr>
      </w:pPr>
      <w:r>
        <w:rPr>
          <w:rFonts w:ascii="Times New Roman" w:hAnsi="Times New Roman"/>
          <w:sz w:val="20"/>
          <w:szCs w:val="20"/>
        </w:rPr>
        <w:t xml:space="preserve">  Fiscal Sustainability</w:t>
      </w:r>
      <w:r w:rsidRPr="0085502A">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rPr>
        <w:tab/>
      </w:r>
      <w:r>
        <w:rPr>
          <w:rFonts w:ascii="Times New Roman" w:hAnsi="Times New Roman"/>
          <w:sz w:val="20"/>
        </w:rPr>
        <w:tab/>
        <w:t>Dean Mead</w:t>
      </w:r>
      <w:r w:rsidRPr="00610E16">
        <w:rPr>
          <w:rFonts w:ascii="Times New Roman" w:hAnsi="Times New Roman"/>
          <w:sz w:val="20"/>
        </w:rPr>
        <w:tab/>
      </w:r>
      <w:r>
        <w:rPr>
          <w:rFonts w:ascii="Times New Roman" w:hAnsi="Times New Roman"/>
          <w:sz w:val="20"/>
        </w:rPr>
        <w:t>294</w:t>
      </w:r>
    </w:p>
    <w:p w:rsidR="001654C6" w:rsidRPr="00610E16" w:rsidRDefault="001654C6" w:rsidP="001654C6">
      <w:pPr>
        <w:tabs>
          <w:tab w:val="left" w:pos="36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sz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524002">
        <w:rPr>
          <w:rFonts w:ascii="Times New Roman" w:hAnsi="Times New Roman"/>
          <w:sz w:val="20"/>
          <w:szCs w:val="20"/>
        </w:rPr>
        <w:t>Janna Lovell</w:t>
      </w:r>
      <w:r w:rsidRPr="00610E16">
        <w:rPr>
          <w:rFonts w:ascii="Times New Roman" w:hAnsi="Times New Roman"/>
          <w:sz w:val="20"/>
        </w:rPr>
        <w:tab/>
      </w:r>
      <w:r w:rsidR="00524002">
        <w:rPr>
          <w:rFonts w:ascii="Times New Roman" w:hAnsi="Times New Roman"/>
          <w:sz w:val="20"/>
        </w:rPr>
        <w:t>261</w:t>
      </w:r>
    </w:p>
    <w:p w:rsidR="001654C6" w:rsidRDefault="001654C6" w:rsidP="001654C6">
      <w:pPr>
        <w:tabs>
          <w:tab w:val="left" w:pos="360"/>
          <w:tab w:val="left" w:pos="3960"/>
          <w:tab w:val="left" w:pos="4950"/>
          <w:tab w:val="left" w:pos="5850"/>
          <w:tab w:val="left" w:pos="6120"/>
          <w:tab w:val="left" w:pos="7020"/>
          <w:tab w:val="left" w:pos="7830"/>
          <w:tab w:val="left" w:pos="8460"/>
          <w:tab w:val="right" w:pos="11160"/>
        </w:tabs>
        <w:spacing w:after="0" w:line="240" w:lineRule="auto"/>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Jay Fountain</w:t>
      </w:r>
      <w:r>
        <w:rPr>
          <w:rFonts w:ascii="Times New Roman" w:hAnsi="Times New Roman"/>
          <w:sz w:val="20"/>
        </w:rPr>
        <w:tab/>
        <w:t>(consultant)</w:t>
      </w:r>
    </w:p>
    <w:p w:rsidR="001654C6" w:rsidRPr="00610E16" w:rsidRDefault="001654C6" w:rsidP="001654C6">
      <w:pPr>
        <w:tabs>
          <w:tab w:val="left" w:pos="360"/>
          <w:tab w:val="left" w:pos="3960"/>
          <w:tab w:val="left" w:pos="4950"/>
          <w:tab w:val="left" w:pos="5850"/>
          <w:tab w:val="left" w:pos="6120"/>
          <w:tab w:val="left" w:pos="7020"/>
          <w:tab w:val="left" w:pos="7830"/>
          <w:tab w:val="left" w:pos="8460"/>
          <w:tab w:val="right" w:pos="11160"/>
        </w:tabs>
        <w:spacing w:after="0" w:line="240" w:lineRule="auto"/>
        <w:rPr>
          <w:rFonts w:ascii="Times New Roman" w:hAnsi="Times New Roman"/>
          <w:sz w:val="20"/>
        </w:rPr>
      </w:pPr>
    </w:p>
    <w:p w:rsidR="001654C6" w:rsidRPr="0085502A" w:rsidRDefault="001654C6" w:rsidP="001654C6">
      <w:pPr>
        <w:shd w:val="clear" w:color="auto" w:fill="D9D9D9"/>
        <w:tabs>
          <w:tab w:val="left" w:pos="36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sz w:val="20"/>
          <w:szCs w:val="20"/>
        </w:rPr>
      </w:pPr>
      <w:r>
        <w:rPr>
          <w:rFonts w:ascii="Times New Roman" w:hAnsi="Times New Roman"/>
          <w:sz w:val="20"/>
          <w:szCs w:val="20"/>
        </w:rPr>
        <w:t>Financial Guarantees</w:t>
      </w:r>
      <w:r>
        <w:rPr>
          <w:rFonts w:ascii="Times New Roman" w:hAnsi="Times New Roman"/>
          <w:sz w:val="20"/>
          <w:szCs w:val="20"/>
        </w:rPr>
        <w:tab/>
        <w:t>—</w:t>
      </w:r>
      <w:r>
        <w:rPr>
          <w:rFonts w:ascii="Times New Roman" w:hAnsi="Times New Roman"/>
          <w:sz w:val="20"/>
          <w:szCs w:val="20"/>
        </w:rPr>
        <w:tab/>
      </w:r>
      <w:r w:rsidRPr="0085502A">
        <w:rPr>
          <w:rFonts w:ascii="Times New Roman" w:hAnsi="Times New Roman"/>
          <w:sz w:val="20"/>
          <w:szCs w:val="20"/>
        </w:rPr>
        <w:t>—</w:t>
      </w:r>
      <w:r>
        <w:rPr>
          <w:rFonts w:ascii="Times New Roman" w:hAnsi="Times New Roman"/>
          <w:sz w:val="20"/>
          <w:szCs w:val="20"/>
        </w:rPr>
        <w:tab/>
        <w:t>—</w:t>
      </w:r>
      <w:r>
        <w:rPr>
          <w:rFonts w:ascii="Times New Roman" w:hAnsi="Times New Roman"/>
          <w:sz w:val="20"/>
          <w:szCs w:val="20"/>
        </w:rPr>
        <w:tab/>
      </w:r>
      <w:r>
        <w:rPr>
          <w:rFonts w:ascii="Times New Roman" w:hAnsi="Times New Roman"/>
          <w:sz w:val="20"/>
          <w:szCs w:val="20"/>
        </w:rPr>
        <w:tab/>
        <w:t>2Q12</w:t>
      </w:r>
      <w:r>
        <w:rPr>
          <w:rFonts w:ascii="Times New Roman" w:hAnsi="Times New Roman"/>
          <w:sz w:val="20"/>
          <w:szCs w:val="20"/>
        </w:rPr>
        <w:tab/>
        <w:t>4Q12</w:t>
      </w:r>
      <w:r>
        <w:rPr>
          <w:rFonts w:ascii="Times New Roman" w:hAnsi="Times New Roman"/>
          <w:sz w:val="20"/>
          <w:szCs w:val="20"/>
        </w:rPr>
        <w:tab/>
        <w:t>Scott Reeser</w:t>
      </w:r>
      <w:r>
        <w:rPr>
          <w:rFonts w:ascii="Times New Roman" w:hAnsi="Times New Roman"/>
          <w:sz w:val="20"/>
          <w:szCs w:val="20"/>
        </w:rPr>
        <w:tab/>
        <w:t>448</w:t>
      </w:r>
    </w:p>
    <w:p w:rsidR="001654C6" w:rsidRPr="0059028D" w:rsidRDefault="001654C6" w:rsidP="001654C6">
      <w:pPr>
        <w:shd w:val="clear" w:color="auto" w:fill="D9D9D9"/>
        <w:tabs>
          <w:tab w:val="left" w:pos="36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59028D">
        <w:rPr>
          <w:rFonts w:ascii="Times New Roman" w:hAnsi="Times New Roman"/>
          <w:sz w:val="20"/>
          <w:szCs w:val="20"/>
        </w:rPr>
        <w:tab/>
      </w:r>
      <w:r>
        <w:rPr>
          <w:rFonts w:ascii="Times New Roman" w:hAnsi="Times New Roman"/>
          <w:sz w:val="20"/>
          <w:szCs w:val="20"/>
        </w:rPr>
        <w:tab/>
        <w:t>Randy Finden</w:t>
      </w:r>
      <w:r w:rsidRPr="0059028D">
        <w:rPr>
          <w:rFonts w:ascii="Times New Roman" w:hAnsi="Times New Roman"/>
          <w:sz w:val="20"/>
          <w:szCs w:val="20"/>
        </w:rPr>
        <w:tab/>
      </w:r>
      <w:r>
        <w:rPr>
          <w:rFonts w:ascii="Times New Roman" w:hAnsi="Times New Roman"/>
          <w:sz w:val="20"/>
          <w:szCs w:val="20"/>
        </w:rPr>
        <w:t>240</w:t>
      </w:r>
    </w:p>
    <w:p w:rsidR="001654C6" w:rsidRPr="0059028D" w:rsidRDefault="001654C6" w:rsidP="001654C6">
      <w:pPr>
        <w:shd w:val="clear" w:color="auto" w:fill="D9D9D9"/>
        <w:tabs>
          <w:tab w:val="left" w:pos="36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sz w:val="20"/>
          <w:szCs w:val="20"/>
        </w:rPr>
      </w:pPr>
      <w:r w:rsidRPr="0059028D">
        <w:rPr>
          <w:rFonts w:ascii="Times New Roman" w:hAnsi="Times New Roman"/>
          <w:sz w:val="20"/>
          <w:szCs w:val="20"/>
        </w:rPr>
        <w:tab/>
      </w:r>
      <w:r w:rsidRPr="0059028D">
        <w:rPr>
          <w:rFonts w:ascii="Times New Roman" w:hAnsi="Times New Roman"/>
          <w:sz w:val="20"/>
          <w:szCs w:val="20"/>
        </w:rPr>
        <w:tab/>
      </w:r>
      <w:r w:rsidRPr="0059028D">
        <w:rPr>
          <w:rFonts w:ascii="Times New Roman" w:hAnsi="Times New Roman"/>
          <w:sz w:val="20"/>
          <w:szCs w:val="20"/>
        </w:rPr>
        <w:tab/>
      </w:r>
      <w:r w:rsidRPr="0059028D">
        <w:rPr>
          <w:rFonts w:ascii="Times New Roman" w:hAnsi="Times New Roman"/>
          <w:sz w:val="20"/>
          <w:szCs w:val="20"/>
        </w:rPr>
        <w:tab/>
      </w:r>
      <w:r w:rsidRPr="0059028D">
        <w:rPr>
          <w:rFonts w:ascii="Times New Roman" w:hAnsi="Times New Roman"/>
          <w:sz w:val="20"/>
          <w:szCs w:val="20"/>
        </w:rPr>
        <w:tab/>
      </w:r>
      <w:r w:rsidRPr="0059028D">
        <w:rPr>
          <w:rFonts w:ascii="Times New Roman" w:hAnsi="Times New Roman"/>
          <w:sz w:val="20"/>
          <w:szCs w:val="20"/>
        </w:rPr>
        <w:tab/>
      </w:r>
      <w:r w:rsidRPr="0059028D">
        <w:rPr>
          <w:rFonts w:ascii="Times New Roman" w:hAnsi="Times New Roman"/>
          <w:sz w:val="20"/>
          <w:szCs w:val="20"/>
        </w:rPr>
        <w:tab/>
      </w:r>
      <w:r>
        <w:rPr>
          <w:rFonts w:ascii="Times New Roman" w:hAnsi="Times New Roman"/>
          <w:sz w:val="20"/>
          <w:szCs w:val="20"/>
        </w:rPr>
        <w:tab/>
        <w:t>Kathryn Price</w:t>
      </w:r>
      <w:r>
        <w:rPr>
          <w:rFonts w:ascii="Times New Roman" w:hAnsi="Times New Roman"/>
          <w:sz w:val="20"/>
          <w:szCs w:val="20"/>
        </w:rPr>
        <w:tab/>
        <w:t>303</w:t>
      </w:r>
    </w:p>
    <w:p w:rsidR="001654C6" w:rsidRPr="0059028D" w:rsidRDefault="001654C6" w:rsidP="001654C6">
      <w:pPr>
        <w:shd w:val="clear" w:color="auto" w:fill="D9D9D9"/>
        <w:tabs>
          <w:tab w:val="left" w:pos="36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sz w:val="20"/>
          <w:szCs w:val="20"/>
        </w:rPr>
      </w:pPr>
      <w:r w:rsidRPr="0059028D">
        <w:rPr>
          <w:rFonts w:ascii="Times New Roman" w:hAnsi="Times New Roman"/>
          <w:sz w:val="20"/>
          <w:szCs w:val="20"/>
        </w:rPr>
        <w:tab/>
      </w:r>
      <w:r w:rsidRPr="0059028D">
        <w:rPr>
          <w:rFonts w:ascii="Times New Roman" w:hAnsi="Times New Roman"/>
          <w:sz w:val="20"/>
          <w:szCs w:val="20"/>
        </w:rPr>
        <w:tab/>
      </w:r>
      <w:r w:rsidRPr="0059028D">
        <w:rPr>
          <w:rFonts w:ascii="Times New Roman" w:hAnsi="Times New Roman"/>
          <w:sz w:val="20"/>
          <w:szCs w:val="20"/>
        </w:rPr>
        <w:tab/>
      </w:r>
      <w:r w:rsidRPr="0059028D">
        <w:rPr>
          <w:rFonts w:ascii="Times New Roman" w:hAnsi="Times New Roman"/>
          <w:sz w:val="20"/>
          <w:szCs w:val="20"/>
        </w:rPr>
        <w:tab/>
      </w:r>
      <w:r w:rsidRPr="0059028D">
        <w:rPr>
          <w:rFonts w:ascii="Times New Roman" w:hAnsi="Times New Roman"/>
          <w:sz w:val="20"/>
          <w:szCs w:val="20"/>
        </w:rPr>
        <w:tab/>
      </w:r>
      <w:r w:rsidRPr="0059028D">
        <w:rPr>
          <w:rFonts w:ascii="Times New Roman" w:hAnsi="Times New Roman"/>
          <w:sz w:val="20"/>
          <w:szCs w:val="20"/>
        </w:rPr>
        <w:tab/>
      </w:r>
      <w:r w:rsidRPr="0059028D">
        <w:rPr>
          <w:rFonts w:ascii="Times New Roman" w:hAnsi="Times New Roman"/>
          <w:sz w:val="20"/>
          <w:szCs w:val="20"/>
        </w:rPr>
        <w:tab/>
      </w:r>
      <w:r>
        <w:rPr>
          <w:rFonts w:ascii="Times New Roman" w:hAnsi="Times New Roman"/>
          <w:sz w:val="20"/>
          <w:szCs w:val="20"/>
        </w:rPr>
        <w:tab/>
        <w:t>Lyra Burgess</w:t>
      </w:r>
      <w:r>
        <w:rPr>
          <w:rFonts w:ascii="Times New Roman" w:hAnsi="Times New Roman"/>
          <w:sz w:val="20"/>
          <w:szCs w:val="20"/>
        </w:rPr>
        <w:tab/>
        <w:t>309</w:t>
      </w:r>
    </w:p>
    <w:p w:rsidR="001654C6" w:rsidRPr="0085502A" w:rsidRDefault="001654C6" w:rsidP="001654C6">
      <w:pPr>
        <w:tabs>
          <w:tab w:val="left" w:pos="360"/>
          <w:tab w:val="left" w:pos="3960"/>
          <w:tab w:val="left" w:pos="4950"/>
          <w:tab w:val="left" w:pos="5850"/>
          <w:tab w:val="left" w:pos="7020"/>
          <w:tab w:val="left" w:pos="7830"/>
          <w:tab w:val="left" w:pos="8460"/>
          <w:tab w:val="left" w:pos="10800"/>
        </w:tabs>
        <w:spacing w:before="120" w:after="0" w:line="240" w:lineRule="auto"/>
        <w:rPr>
          <w:rFonts w:ascii="Times New Roman" w:hAnsi="Times New Roman"/>
          <w:sz w:val="20"/>
          <w:szCs w:val="20"/>
        </w:rPr>
      </w:pPr>
      <w:r>
        <w:rPr>
          <w:rFonts w:ascii="Times New Roman" w:hAnsi="Times New Roman"/>
          <w:sz w:val="20"/>
          <w:szCs w:val="20"/>
        </w:rPr>
        <w:t>Government Combinations</w:t>
      </w:r>
      <w:r>
        <w:rPr>
          <w:rFonts w:ascii="Times New Roman" w:hAnsi="Times New Roman"/>
          <w:sz w:val="20"/>
          <w:szCs w:val="20"/>
        </w:rPr>
        <w:tab/>
        <w:t>—</w:t>
      </w:r>
      <w:r>
        <w:rPr>
          <w:rFonts w:ascii="Times New Roman" w:hAnsi="Times New Roman"/>
          <w:sz w:val="20"/>
          <w:szCs w:val="20"/>
        </w:rPr>
        <w:tab/>
      </w:r>
      <w:r w:rsidRPr="0085502A">
        <w:rPr>
          <w:rFonts w:ascii="Times New Roman" w:hAnsi="Times New Roman"/>
          <w:sz w:val="20"/>
          <w:szCs w:val="20"/>
        </w:rPr>
        <w:t>—</w:t>
      </w:r>
      <w:r>
        <w:rPr>
          <w:rFonts w:ascii="Times New Roman" w:hAnsi="Times New Roman"/>
          <w:sz w:val="20"/>
          <w:szCs w:val="20"/>
        </w:rPr>
        <w:tab/>
        <w:t>—</w:t>
      </w:r>
      <w:r>
        <w:rPr>
          <w:rFonts w:ascii="Times New Roman" w:hAnsi="Times New Roman"/>
          <w:sz w:val="20"/>
          <w:szCs w:val="20"/>
        </w:rPr>
        <w:tab/>
        <w:t>2Q12</w:t>
      </w:r>
      <w:r>
        <w:rPr>
          <w:rFonts w:ascii="Times New Roman" w:hAnsi="Times New Roman"/>
          <w:sz w:val="20"/>
          <w:szCs w:val="20"/>
        </w:rPr>
        <w:tab/>
        <w:t>1Q13</w:t>
      </w:r>
      <w:r>
        <w:rPr>
          <w:rFonts w:ascii="Times New Roman" w:hAnsi="Times New Roman"/>
          <w:sz w:val="20"/>
          <w:szCs w:val="20"/>
        </w:rPr>
        <w:tab/>
        <w:t>Jeff Bridgens</w:t>
      </w:r>
      <w:r>
        <w:rPr>
          <w:rFonts w:ascii="Times New Roman" w:hAnsi="Times New Roman"/>
          <w:sz w:val="20"/>
          <w:szCs w:val="20"/>
        </w:rPr>
        <w:tab/>
        <w:t>210</w:t>
      </w:r>
    </w:p>
    <w:p w:rsidR="001654C6" w:rsidRPr="0059028D" w:rsidRDefault="001654C6" w:rsidP="001654C6">
      <w:pPr>
        <w:tabs>
          <w:tab w:val="left" w:pos="360"/>
          <w:tab w:val="left" w:pos="3960"/>
          <w:tab w:val="left" w:pos="4950"/>
          <w:tab w:val="left" w:pos="5850"/>
          <w:tab w:val="left" w:pos="7020"/>
          <w:tab w:val="left" w:pos="7830"/>
          <w:tab w:val="left" w:pos="8460"/>
          <w:tab w:val="left" w:pos="1080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59028D">
        <w:rPr>
          <w:rFonts w:ascii="Times New Roman" w:hAnsi="Times New Roman"/>
          <w:sz w:val="20"/>
          <w:szCs w:val="20"/>
        </w:rPr>
        <w:tab/>
      </w:r>
      <w:r>
        <w:rPr>
          <w:rFonts w:ascii="Times New Roman" w:hAnsi="Times New Roman"/>
          <w:sz w:val="20"/>
          <w:szCs w:val="20"/>
        </w:rPr>
        <w:tab/>
      </w:r>
      <w:r w:rsidRPr="0059028D">
        <w:rPr>
          <w:rFonts w:ascii="Times New Roman" w:hAnsi="Times New Roman"/>
          <w:sz w:val="20"/>
          <w:szCs w:val="20"/>
        </w:rPr>
        <w:t>Roberta Reese</w:t>
      </w:r>
      <w:r w:rsidRPr="0059028D">
        <w:rPr>
          <w:rFonts w:ascii="Times New Roman" w:hAnsi="Times New Roman"/>
          <w:sz w:val="20"/>
          <w:szCs w:val="20"/>
        </w:rPr>
        <w:tab/>
        <w:t>324</w:t>
      </w:r>
    </w:p>
    <w:p w:rsidR="001654C6" w:rsidRPr="0059028D" w:rsidRDefault="001654C6" w:rsidP="001654C6">
      <w:pPr>
        <w:tabs>
          <w:tab w:val="left" w:pos="360"/>
          <w:tab w:val="left" w:pos="3960"/>
          <w:tab w:val="left" w:pos="4950"/>
          <w:tab w:val="left" w:pos="5850"/>
          <w:tab w:val="left" w:pos="7020"/>
          <w:tab w:val="left" w:pos="7830"/>
          <w:tab w:val="left" w:pos="8460"/>
          <w:tab w:val="left" w:pos="10800"/>
        </w:tabs>
        <w:spacing w:after="0" w:line="240" w:lineRule="auto"/>
        <w:rPr>
          <w:rFonts w:ascii="Times New Roman" w:hAnsi="Times New Roman"/>
          <w:sz w:val="20"/>
          <w:szCs w:val="20"/>
        </w:rPr>
      </w:pPr>
      <w:r w:rsidRPr="0059028D">
        <w:rPr>
          <w:rFonts w:ascii="Times New Roman" w:hAnsi="Times New Roman"/>
          <w:sz w:val="20"/>
          <w:szCs w:val="20"/>
        </w:rPr>
        <w:tab/>
      </w:r>
      <w:r w:rsidRPr="0059028D">
        <w:rPr>
          <w:rFonts w:ascii="Times New Roman" w:hAnsi="Times New Roman"/>
          <w:sz w:val="20"/>
          <w:szCs w:val="20"/>
        </w:rPr>
        <w:tab/>
      </w:r>
      <w:r w:rsidRPr="0059028D">
        <w:rPr>
          <w:rFonts w:ascii="Times New Roman" w:hAnsi="Times New Roman"/>
          <w:sz w:val="20"/>
          <w:szCs w:val="20"/>
        </w:rPr>
        <w:tab/>
      </w:r>
      <w:r w:rsidRPr="0059028D">
        <w:rPr>
          <w:rFonts w:ascii="Times New Roman" w:hAnsi="Times New Roman"/>
          <w:sz w:val="20"/>
          <w:szCs w:val="20"/>
        </w:rPr>
        <w:tab/>
      </w:r>
      <w:r w:rsidRPr="0059028D">
        <w:rPr>
          <w:rFonts w:ascii="Times New Roman" w:hAnsi="Times New Roman"/>
          <w:sz w:val="20"/>
          <w:szCs w:val="20"/>
        </w:rPr>
        <w:tab/>
      </w:r>
      <w:r w:rsidRPr="0059028D">
        <w:rPr>
          <w:rFonts w:ascii="Times New Roman" w:hAnsi="Times New Roman"/>
          <w:sz w:val="20"/>
          <w:szCs w:val="20"/>
        </w:rPr>
        <w:tab/>
      </w:r>
      <w:r>
        <w:rPr>
          <w:rFonts w:ascii="Times New Roman" w:hAnsi="Times New Roman"/>
          <w:sz w:val="20"/>
          <w:szCs w:val="20"/>
        </w:rPr>
        <w:tab/>
        <w:t>Kathryn Price</w:t>
      </w:r>
      <w:r>
        <w:rPr>
          <w:rFonts w:ascii="Times New Roman" w:hAnsi="Times New Roman"/>
          <w:sz w:val="20"/>
          <w:szCs w:val="20"/>
        </w:rPr>
        <w:tab/>
        <w:t>303</w:t>
      </w:r>
    </w:p>
    <w:p w:rsidR="001654C6" w:rsidRDefault="001654C6" w:rsidP="001654C6">
      <w:pPr>
        <w:tabs>
          <w:tab w:val="left" w:pos="360"/>
          <w:tab w:val="left" w:pos="3960"/>
          <w:tab w:val="left" w:pos="4950"/>
          <w:tab w:val="left" w:pos="5850"/>
          <w:tab w:val="left" w:pos="7020"/>
          <w:tab w:val="left" w:pos="7830"/>
          <w:tab w:val="left" w:pos="8460"/>
          <w:tab w:val="left" w:pos="10800"/>
        </w:tabs>
        <w:spacing w:after="0" w:line="240" w:lineRule="auto"/>
        <w:rPr>
          <w:rFonts w:ascii="Times New Roman" w:hAnsi="Times New Roman"/>
          <w:sz w:val="20"/>
          <w:szCs w:val="20"/>
        </w:rPr>
      </w:pPr>
      <w:r w:rsidRPr="0059028D">
        <w:rPr>
          <w:rFonts w:ascii="Times New Roman" w:hAnsi="Times New Roman"/>
          <w:sz w:val="20"/>
          <w:szCs w:val="20"/>
        </w:rPr>
        <w:tab/>
      </w:r>
      <w:r w:rsidRPr="0059028D">
        <w:rPr>
          <w:rFonts w:ascii="Times New Roman" w:hAnsi="Times New Roman"/>
          <w:sz w:val="20"/>
          <w:szCs w:val="20"/>
        </w:rPr>
        <w:tab/>
      </w:r>
      <w:r w:rsidRPr="0059028D">
        <w:rPr>
          <w:rFonts w:ascii="Times New Roman" w:hAnsi="Times New Roman"/>
          <w:sz w:val="20"/>
          <w:szCs w:val="20"/>
        </w:rPr>
        <w:tab/>
      </w:r>
      <w:r w:rsidRPr="0059028D">
        <w:rPr>
          <w:rFonts w:ascii="Times New Roman" w:hAnsi="Times New Roman"/>
          <w:sz w:val="20"/>
          <w:szCs w:val="20"/>
        </w:rPr>
        <w:tab/>
      </w:r>
      <w:r w:rsidRPr="0059028D">
        <w:rPr>
          <w:rFonts w:ascii="Times New Roman" w:hAnsi="Times New Roman"/>
          <w:sz w:val="20"/>
          <w:szCs w:val="20"/>
        </w:rPr>
        <w:tab/>
      </w:r>
      <w:r w:rsidRPr="0059028D">
        <w:rPr>
          <w:rFonts w:ascii="Times New Roman" w:hAnsi="Times New Roman"/>
          <w:sz w:val="20"/>
          <w:szCs w:val="20"/>
        </w:rPr>
        <w:tab/>
      </w:r>
      <w:r>
        <w:rPr>
          <w:rFonts w:ascii="Times New Roman" w:hAnsi="Times New Roman"/>
          <w:sz w:val="20"/>
          <w:szCs w:val="20"/>
        </w:rPr>
        <w:tab/>
        <w:t>Ken Schermann</w:t>
      </w:r>
      <w:r>
        <w:rPr>
          <w:rFonts w:ascii="Times New Roman" w:hAnsi="Times New Roman"/>
          <w:sz w:val="20"/>
          <w:szCs w:val="20"/>
        </w:rPr>
        <w:tab/>
        <w:t>206</w:t>
      </w:r>
    </w:p>
    <w:p w:rsidR="001654C6" w:rsidRPr="0059028D" w:rsidRDefault="001654C6" w:rsidP="001654C6">
      <w:pPr>
        <w:tabs>
          <w:tab w:val="left" w:pos="360"/>
          <w:tab w:val="left" w:pos="3960"/>
          <w:tab w:val="left" w:pos="4950"/>
          <w:tab w:val="left" w:pos="5850"/>
          <w:tab w:val="left" w:pos="7020"/>
          <w:tab w:val="left" w:pos="7830"/>
          <w:tab w:val="left" w:pos="8460"/>
          <w:tab w:val="left" w:pos="10800"/>
        </w:tabs>
        <w:spacing w:after="0" w:line="240" w:lineRule="auto"/>
        <w:rPr>
          <w:rFonts w:ascii="Times New Roman" w:hAnsi="Times New Roman"/>
          <w:sz w:val="20"/>
          <w:szCs w:val="20"/>
        </w:rPr>
      </w:pPr>
    </w:p>
    <w:p w:rsidR="001654C6" w:rsidRPr="0085502A" w:rsidRDefault="001654C6" w:rsidP="001654C6">
      <w:pPr>
        <w:shd w:val="clear" w:color="auto" w:fill="D9D9D9"/>
        <w:tabs>
          <w:tab w:val="left" w:pos="36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sz w:val="20"/>
          <w:szCs w:val="20"/>
        </w:rPr>
      </w:pPr>
      <w:r w:rsidRPr="0085502A">
        <w:rPr>
          <w:rFonts w:ascii="Times New Roman" w:hAnsi="Times New Roman"/>
          <w:sz w:val="20"/>
          <w:szCs w:val="20"/>
        </w:rPr>
        <w:t>Postemployment Benefits Accounting</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59028D">
        <w:rPr>
          <w:rFonts w:ascii="Times New Roman" w:hAnsi="Times New Roman"/>
          <w:sz w:val="20"/>
          <w:szCs w:val="20"/>
        </w:rPr>
        <w:t>Michelle Czerkawski</w:t>
      </w:r>
      <w:r w:rsidRPr="0059028D">
        <w:rPr>
          <w:rFonts w:ascii="Times New Roman" w:hAnsi="Times New Roman"/>
          <w:sz w:val="20"/>
          <w:szCs w:val="20"/>
        </w:rPr>
        <w:tab/>
        <w:t>293</w:t>
      </w:r>
    </w:p>
    <w:p w:rsidR="001654C6" w:rsidRPr="001654C6" w:rsidRDefault="001654C6" w:rsidP="001654C6">
      <w:pPr>
        <w:shd w:val="clear" w:color="auto" w:fill="D9D9D9"/>
        <w:tabs>
          <w:tab w:val="left" w:pos="36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sz w:val="20"/>
          <w:szCs w:val="20"/>
        </w:rPr>
      </w:pPr>
      <w:r w:rsidRPr="001654C6">
        <w:rPr>
          <w:rFonts w:ascii="Times New Roman" w:hAnsi="Times New Roman"/>
          <w:sz w:val="20"/>
          <w:szCs w:val="20"/>
        </w:rPr>
        <w:t xml:space="preserve">  and Financial Reporting: </w:t>
      </w:r>
      <w:r w:rsidRPr="001654C6">
        <w:rPr>
          <w:rFonts w:ascii="Times New Roman" w:hAnsi="Times New Roman"/>
          <w:sz w:val="20"/>
          <w:szCs w:val="20"/>
        </w:rPr>
        <w:tab/>
      </w:r>
      <w:r w:rsidRPr="001654C6">
        <w:rPr>
          <w:rFonts w:ascii="Times New Roman" w:hAnsi="Times New Roman"/>
          <w:sz w:val="20"/>
          <w:szCs w:val="20"/>
        </w:rPr>
        <w:tab/>
      </w:r>
      <w:r w:rsidRPr="001654C6">
        <w:rPr>
          <w:rFonts w:ascii="Times New Roman" w:hAnsi="Times New Roman"/>
          <w:sz w:val="20"/>
          <w:szCs w:val="20"/>
        </w:rPr>
        <w:tab/>
      </w:r>
      <w:r w:rsidRPr="001654C6">
        <w:rPr>
          <w:rFonts w:ascii="Times New Roman" w:hAnsi="Times New Roman"/>
          <w:sz w:val="20"/>
          <w:szCs w:val="20"/>
        </w:rPr>
        <w:tab/>
      </w:r>
      <w:r w:rsidRPr="001654C6">
        <w:rPr>
          <w:rFonts w:ascii="Times New Roman" w:hAnsi="Times New Roman"/>
          <w:sz w:val="20"/>
          <w:szCs w:val="20"/>
        </w:rPr>
        <w:tab/>
      </w:r>
      <w:r w:rsidRPr="001654C6">
        <w:rPr>
          <w:rFonts w:ascii="Times New Roman" w:hAnsi="Times New Roman"/>
          <w:sz w:val="20"/>
          <w:szCs w:val="20"/>
        </w:rPr>
        <w:tab/>
      </w:r>
      <w:r w:rsidRPr="001654C6">
        <w:rPr>
          <w:rFonts w:ascii="Times New Roman" w:hAnsi="Times New Roman"/>
          <w:sz w:val="20"/>
          <w:szCs w:val="20"/>
        </w:rPr>
        <w:tab/>
        <w:t>Scott Reeser</w:t>
      </w:r>
      <w:r w:rsidRPr="001654C6">
        <w:rPr>
          <w:rFonts w:ascii="Times New Roman" w:hAnsi="Times New Roman"/>
          <w:sz w:val="20"/>
          <w:szCs w:val="20"/>
        </w:rPr>
        <w:tab/>
        <w:t>448</w:t>
      </w:r>
    </w:p>
    <w:p w:rsidR="001654C6" w:rsidRDefault="001654C6" w:rsidP="001654C6">
      <w:pPr>
        <w:shd w:val="clear" w:color="auto" w:fill="D9D9D9"/>
        <w:tabs>
          <w:tab w:val="left" w:pos="36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sz w:val="20"/>
          <w:szCs w:val="20"/>
        </w:rPr>
      </w:pPr>
      <w:r w:rsidRPr="001654C6">
        <w:rPr>
          <w:rFonts w:ascii="Times New Roman" w:hAnsi="Times New Roman"/>
          <w:sz w:val="20"/>
          <w:szCs w:val="20"/>
        </w:rPr>
        <w:tab/>
      </w:r>
      <w:r>
        <w:rPr>
          <w:rFonts w:ascii="Times New Roman" w:hAnsi="Times New Roman"/>
          <w:sz w:val="20"/>
          <w:szCs w:val="20"/>
        </w:rPr>
        <w:t>Other Postemployment Benefits</w:t>
      </w:r>
      <w:r w:rsidR="00D4295A" w:rsidRPr="001654C6">
        <w:rPr>
          <w:rFonts w:ascii="Times New Roman" w:hAnsi="Times New Roman"/>
          <w:sz w:val="20"/>
          <w:szCs w:val="20"/>
        </w:rPr>
        <w:tab/>
      </w:r>
      <w:r w:rsidR="0025763F">
        <w:rPr>
          <w:rFonts w:ascii="Times New Roman" w:hAnsi="Times New Roman" w:cs="Times New Roman"/>
          <w:sz w:val="20"/>
          <w:szCs w:val="20"/>
        </w:rPr>
        <w:t>—</w:t>
      </w:r>
      <w:r w:rsidR="0025763F">
        <w:rPr>
          <w:rFonts w:ascii="Times New Roman" w:hAnsi="Times New Roman"/>
          <w:sz w:val="20"/>
          <w:szCs w:val="20"/>
        </w:rPr>
        <w:tab/>
      </w:r>
      <w:r w:rsidR="0025763F">
        <w:rPr>
          <w:rFonts w:ascii="Times New Roman" w:hAnsi="Times New Roman" w:cs="Times New Roman"/>
          <w:sz w:val="20"/>
          <w:szCs w:val="20"/>
        </w:rPr>
        <w:t>—</w:t>
      </w:r>
      <w:r w:rsidR="00D4295A" w:rsidRPr="001654C6">
        <w:rPr>
          <w:rFonts w:ascii="Times New Roman" w:hAnsi="Times New Roman"/>
          <w:sz w:val="20"/>
          <w:szCs w:val="20"/>
        </w:rPr>
        <w:tab/>
      </w:r>
      <w:r w:rsidR="0025763F">
        <w:rPr>
          <w:rFonts w:ascii="Times New Roman" w:hAnsi="Times New Roman" w:cs="Times New Roman"/>
          <w:sz w:val="20"/>
          <w:szCs w:val="20"/>
        </w:rPr>
        <w:t>—</w:t>
      </w:r>
      <w:r w:rsidR="00D4295A" w:rsidRPr="001654C6">
        <w:rPr>
          <w:rFonts w:ascii="Times New Roman" w:hAnsi="Times New Roman"/>
          <w:sz w:val="20"/>
          <w:szCs w:val="20"/>
        </w:rPr>
        <w:tab/>
      </w:r>
      <w:r w:rsidR="00D4295A" w:rsidRPr="001654C6">
        <w:rPr>
          <w:rFonts w:ascii="Times New Roman" w:hAnsi="Times New Roman"/>
          <w:sz w:val="20"/>
          <w:szCs w:val="20"/>
        </w:rPr>
        <w:tab/>
      </w:r>
      <w:r w:rsidR="0025763F">
        <w:rPr>
          <w:rFonts w:ascii="Times New Roman" w:hAnsi="Times New Roman"/>
          <w:sz w:val="20"/>
          <w:szCs w:val="20"/>
        </w:rPr>
        <w:t>2Q12</w:t>
      </w:r>
      <w:r w:rsidR="00D4295A" w:rsidRPr="001654C6">
        <w:rPr>
          <w:rFonts w:ascii="Times New Roman" w:hAnsi="Times New Roman"/>
          <w:sz w:val="20"/>
          <w:szCs w:val="20"/>
        </w:rPr>
        <w:tab/>
      </w:r>
      <w:r w:rsidR="0025763F">
        <w:rPr>
          <w:rFonts w:ascii="Times New Roman" w:hAnsi="Times New Roman"/>
          <w:sz w:val="20"/>
          <w:szCs w:val="20"/>
        </w:rPr>
        <w:t>2Q13</w:t>
      </w:r>
      <w:r w:rsidR="00D4295A" w:rsidRPr="001654C6">
        <w:rPr>
          <w:rFonts w:ascii="Times New Roman" w:hAnsi="Times New Roman"/>
          <w:sz w:val="20"/>
          <w:szCs w:val="20"/>
        </w:rPr>
        <w:tab/>
        <w:t>Jeff Bridgens</w:t>
      </w:r>
      <w:r w:rsidR="00D4295A" w:rsidRPr="001654C6">
        <w:rPr>
          <w:rFonts w:ascii="Times New Roman" w:hAnsi="Times New Roman"/>
          <w:sz w:val="20"/>
          <w:szCs w:val="20"/>
        </w:rPr>
        <w:tab/>
        <w:t>210</w:t>
      </w:r>
    </w:p>
    <w:p w:rsidR="001654C6" w:rsidRDefault="001654C6" w:rsidP="001654C6">
      <w:pPr>
        <w:shd w:val="clear" w:color="auto" w:fill="D9D9D9"/>
        <w:tabs>
          <w:tab w:val="left" w:pos="36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sz w:val="20"/>
          <w:szCs w:val="20"/>
        </w:rPr>
      </w:pPr>
      <w:r>
        <w:rPr>
          <w:rFonts w:ascii="Times New Roman" w:hAnsi="Times New Roman"/>
          <w:sz w:val="20"/>
          <w:szCs w:val="20"/>
        </w:rPr>
        <w:tab/>
        <w:t xml:space="preserve">  Accounting and Financial</w:t>
      </w:r>
      <w:r w:rsidR="00D4295A">
        <w:rPr>
          <w:rFonts w:ascii="Times New Roman" w:hAnsi="Times New Roman"/>
          <w:sz w:val="20"/>
          <w:szCs w:val="20"/>
        </w:rPr>
        <w:tab/>
      </w:r>
      <w:r w:rsidR="00D4295A">
        <w:rPr>
          <w:rFonts w:ascii="Times New Roman" w:hAnsi="Times New Roman"/>
          <w:sz w:val="20"/>
          <w:szCs w:val="20"/>
        </w:rPr>
        <w:tab/>
      </w:r>
      <w:r w:rsidR="00D4295A">
        <w:rPr>
          <w:rFonts w:ascii="Times New Roman" w:hAnsi="Times New Roman"/>
          <w:sz w:val="20"/>
          <w:szCs w:val="20"/>
        </w:rPr>
        <w:tab/>
      </w:r>
      <w:r w:rsidR="00D4295A">
        <w:rPr>
          <w:rFonts w:ascii="Times New Roman" w:hAnsi="Times New Roman"/>
          <w:sz w:val="20"/>
          <w:szCs w:val="20"/>
        </w:rPr>
        <w:tab/>
      </w:r>
      <w:r w:rsidR="00D4295A">
        <w:rPr>
          <w:rFonts w:ascii="Times New Roman" w:hAnsi="Times New Roman"/>
          <w:sz w:val="20"/>
          <w:szCs w:val="20"/>
        </w:rPr>
        <w:tab/>
      </w:r>
      <w:r w:rsidR="00D4295A">
        <w:rPr>
          <w:rFonts w:ascii="Times New Roman" w:hAnsi="Times New Roman"/>
          <w:sz w:val="20"/>
          <w:szCs w:val="20"/>
        </w:rPr>
        <w:tab/>
      </w:r>
      <w:r w:rsidR="00D4295A">
        <w:rPr>
          <w:rFonts w:ascii="Times New Roman" w:hAnsi="Times New Roman"/>
          <w:sz w:val="20"/>
          <w:szCs w:val="20"/>
        </w:rPr>
        <w:tab/>
        <w:t>Wesley Galloway</w:t>
      </w:r>
      <w:r w:rsidR="00D4295A">
        <w:rPr>
          <w:rFonts w:ascii="Times New Roman" w:hAnsi="Times New Roman"/>
          <w:sz w:val="20"/>
          <w:szCs w:val="20"/>
        </w:rPr>
        <w:tab/>
        <w:t>272</w:t>
      </w:r>
    </w:p>
    <w:p w:rsidR="001654C6" w:rsidRDefault="001654C6" w:rsidP="001654C6">
      <w:pPr>
        <w:shd w:val="clear" w:color="auto" w:fill="D9D9D9"/>
        <w:tabs>
          <w:tab w:val="left" w:pos="36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sz w:val="20"/>
          <w:szCs w:val="20"/>
        </w:rPr>
      </w:pPr>
      <w:r>
        <w:rPr>
          <w:rFonts w:ascii="Times New Roman" w:hAnsi="Times New Roman"/>
          <w:sz w:val="20"/>
          <w:szCs w:val="20"/>
        </w:rPr>
        <w:tab/>
        <w:t xml:space="preserve">  Reporting</w:t>
      </w:r>
      <w:r w:rsidR="00D4295A">
        <w:rPr>
          <w:rFonts w:ascii="Times New Roman" w:hAnsi="Times New Roman"/>
          <w:sz w:val="20"/>
          <w:szCs w:val="20"/>
        </w:rPr>
        <w:tab/>
      </w:r>
      <w:r w:rsidR="00D4295A">
        <w:rPr>
          <w:rFonts w:ascii="Times New Roman" w:hAnsi="Times New Roman"/>
          <w:sz w:val="20"/>
          <w:szCs w:val="20"/>
        </w:rPr>
        <w:tab/>
      </w:r>
      <w:r w:rsidR="00D4295A">
        <w:rPr>
          <w:rFonts w:ascii="Times New Roman" w:hAnsi="Times New Roman"/>
          <w:sz w:val="20"/>
          <w:szCs w:val="20"/>
        </w:rPr>
        <w:tab/>
      </w:r>
      <w:r w:rsidR="00D4295A">
        <w:rPr>
          <w:rFonts w:ascii="Times New Roman" w:hAnsi="Times New Roman"/>
          <w:sz w:val="20"/>
          <w:szCs w:val="20"/>
        </w:rPr>
        <w:tab/>
      </w:r>
      <w:r w:rsidR="00D4295A">
        <w:rPr>
          <w:rFonts w:ascii="Times New Roman" w:hAnsi="Times New Roman"/>
          <w:sz w:val="20"/>
          <w:szCs w:val="20"/>
        </w:rPr>
        <w:tab/>
      </w:r>
      <w:r w:rsidR="00D4295A">
        <w:rPr>
          <w:rFonts w:ascii="Times New Roman" w:hAnsi="Times New Roman"/>
          <w:sz w:val="20"/>
          <w:szCs w:val="20"/>
        </w:rPr>
        <w:tab/>
      </w:r>
      <w:r w:rsidR="00D4295A">
        <w:rPr>
          <w:rFonts w:ascii="Times New Roman" w:hAnsi="Times New Roman"/>
          <w:sz w:val="20"/>
          <w:szCs w:val="20"/>
        </w:rPr>
        <w:tab/>
        <w:t>Dean Mead</w:t>
      </w:r>
      <w:r w:rsidR="00D4295A">
        <w:rPr>
          <w:rFonts w:ascii="Times New Roman" w:hAnsi="Times New Roman"/>
          <w:sz w:val="20"/>
          <w:szCs w:val="20"/>
        </w:rPr>
        <w:tab/>
        <w:t>294</w:t>
      </w:r>
    </w:p>
    <w:p w:rsidR="00524002" w:rsidRDefault="00524002" w:rsidP="001654C6">
      <w:pPr>
        <w:shd w:val="clear" w:color="auto" w:fill="D9D9D9"/>
        <w:tabs>
          <w:tab w:val="left" w:pos="36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sz w:val="20"/>
          <w:szCs w:val="20"/>
        </w:rPr>
      </w:pPr>
      <w:r>
        <w:rPr>
          <w:rFonts w:ascii="Times New Roman" w:hAnsi="Times New Roman"/>
          <w:sz w:val="20"/>
          <w:szCs w:val="20"/>
        </w:rPr>
        <w:tab/>
      </w:r>
      <w:r w:rsidR="001654C6" w:rsidRPr="001654C6">
        <w:rPr>
          <w:rFonts w:ascii="Times New Roman" w:hAnsi="Times New Roman"/>
          <w:sz w:val="20"/>
          <w:szCs w:val="20"/>
        </w:rPr>
        <w:t>Pension Accounting and</w:t>
      </w:r>
      <w:r w:rsidRPr="001654C6">
        <w:rPr>
          <w:rFonts w:ascii="Times New Roman" w:hAnsi="Times New Roman"/>
          <w:sz w:val="20"/>
          <w:szCs w:val="20"/>
        </w:rPr>
        <w:tab/>
      </w:r>
      <w:r>
        <w:rPr>
          <w:rFonts w:ascii="Times New Roman" w:hAnsi="Times New Roman"/>
          <w:sz w:val="20"/>
          <w:szCs w:val="20"/>
        </w:rPr>
        <w:t>3/09</w:t>
      </w:r>
      <w:r w:rsidRPr="001654C6">
        <w:rPr>
          <w:rFonts w:ascii="Times New Roman" w:hAnsi="Times New Roman"/>
          <w:sz w:val="20"/>
          <w:szCs w:val="20"/>
        </w:rPr>
        <w:tab/>
      </w:r>
      <w:r>
        <w:rPr>
          <w:rFonts w:ascii="Times New Roman" w:hAnsi="Times New Roman" w:cs="Times New Roman"/>
          <w:sz w:val="20"/>
          <w:szCs w:val="20"/>
        </w:rPr>
        <w:t>—</w:t>
      </w:r>
      <w:r w:rsidRPr="001654C6">
        <w:rPr>
          <w:rFonts w:ascii="Times New Roman" w:hAnsi="Times New Roman"/>
          <w:sz w:val="20"/>
          <w:szCs w:val="20"/>
        </w:rPr>
        <w:tab/>
      </w:r>
      <w:r>
        <w:rPr>
          <w:rFonts w:ascii="Times New Roman" w:hAnsi="Times New Roman" w:cs="Times New Roman"/>
          <w:sz w:val="20"/>
          <w:szCs w:val="20"/>
        </w:rPr>
        <w:t>—</w:t>
      </w:r>
      <w:r w:rsidRPr="001654C6">
        <w:rPr>
          <w:rFonts w:ascii="Times New Roman" w:hAnsi="Times New Roman"/>
          <w:sz w:val="20"/>
          <w:szCs w:val="20"/>
        </w:rPr>
        <w:tab/>
      </w:r>
      <w:r w:rsidRPr="001654C6">
        <w:rPr>
          <w:rFonts w:ascii="Times New Roman" w:hAnsi="Times New Roman"/>
          <w:sz w:val="20"/>
          <w:szCs w:val="20"/>
        </w:rPr>
        <w:tab/>
      </w:r>
      <w:r>
        <w:rPr>
          <w:rFonts w:ascii="Times New Roman" w:hAnsi="Times New Roman"/>
          <w:sz w:val="20"/>
          <w:szCs w:val="20"/>
        </w:rPr>
        <w:t>2Q11</w:t>
      </w:r>
      <w:r w:rsidRPr="001654C6">
        <w:rPr>
          <w:rFonts w:ascii="Times New Roman" w:hAnsi="Times New Roman"/>
          <w:sz w:val="20"/>
          <w:szCs w:val="20"/>
        </w:rPr>
        <w:tab/>
      </w:r>
      <w:r>
        <w:rPr>
          <w:rFonts w:ascii="Times New Roman" w:hAnsi="Times New Roman"/>
          <w:sz w:val="20"/>
          <w:szCs w:val="20"/>
        </w:rPr>
        <w:t>2Q12</w:t>
      </w:r>
      <w:r w:rsidRPr="001654C6">
        <w:rPr>
          <w:rFonts w:ascii="Times New Roman" w:hAnsi="Times New Roman"/>
          <w:sz w:val="20"/>
          <w:szCs w:val="20"/>
        </w:rPr>
        <w:tab/>
        <w:t>Roberta Reese</w:t>
      </w:r>
      <w:r w:rsidRPr="001654C6">
        <w:rPr>
          <w:rFonts w:ascii="Times New Roman" w:hAnsi="Times New Roman"/>
          <w:sz w:val="20"/>
          <w:szCs w:val="20"/>
        </w:rPr>
        <w:tab/>
      </w:r>
      <w:r>
        <w:rPr>
          <w:rFonts w:ascii="Times New Roman" w:hAnsi="Times New Roman"/>
          <w:sz w:val="20"/>
          <w:szCs w:val="20"/>
        </w:rPr>
        <w:t>324</w:t>
      </w:r>
    </w:p>
    <w:p w:rsidR="001654C6" w:rsidRPr="001654C6" w:rsidRDefault="00524002" w:rsidP="001654C6">
      <w:pPr>
        <w:shd w:val="clear" w:color="auto" w:fill="D9D9D9"/>
        <w:tabs>
          <w:tab w:val="left" w:pos="36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sz w:val="20"/>
          <w:szCs w:val="20"/>
        </w:rPr>
      </w:pPr>
      <w:r>
        <w:rPr>
          <w:rFonts w:ascii="Times New Roman" w:hAnsi="Times New Roman"/>
          <w:sz w:val="20"/>
          <w:szCs w:val="20"/>
        </w:rPr>
        <w:tab/>
      </w:r>
      <w:r w:rsidRPr="001654C6">
        <w:rPr>
          <w:rFonts w:ascii="Times New Roman" w:hAnsi="Times New Roman"/>
          <w:sz w:val="20"/>
          <w:szCs w:val="20"/>
        </w:rPr>
        <w:t xml:space="preserve">  Financial Reporting</w:t>
      </w:r>
      <w:r w:rsidR="001654C6" w:rsidRPr="001654C6">
        <w:rPr>
          <w:rFonts w:ascii="Times New Roman" w:hAnsi="Times New Roman"/>
          <w:sz w:val="20"/>
          <w:szCs w:val="20"/>
        </w:rPr>
        <w:tab/>
      </w:r>
      <w:r>
        <w:rPr>
          <w:rFonts w:ascii="Times New Roman" w:hAnsi="Times New Roman"/>
          <w:sz w:val="20"/>
          <w:szCs w:val="20"/>
        </w:rPr>
        <w:t>6/10</w:t>
      </w:r>
      <w:r w:rsidR="00D4295A" w:rsidRPr="001654C6">
        <w:rPr>
          <w:rFonts w:ascii="Times New Roman" w:hAnsi="Times New Roman"/>
          <w:sz w:val="20"/>
          <w:szCs w:val="20"/>
        </w:rPr>
        <w:tab/>
      </w:r>
      <w:r w:rsidR="00D4295A" w:rsidRPr="001654C6">
        <w:rPr>
          <w:rFonts w:ascii="Times New Roman" w:hAnsi="Times New Roman"/>
          <w:sz w:val="20"/>
          <w:szCs w:val="20"/>
        </w:rPr>
        <w:tab/>
      </w:r>
      <w:r w:rsidR="00D4295A" w:rsidRPr="001654C6">
        <w:rPr>
          <w:rFonts w:ascii="Times New Roman" w:hAnsi="Times New Roman"/>
          <w:sz w:val="20"/>
          <w:szCs w:val="20"/>
        </w:rPr>
        <w:tab/>
      </w:r>
      <w:r w:rsidR="00D4295A" w:rsidRPr="001654C6">
        <w:rPr>
          <w:rFonts w:ascii="Times New Roman" w:hAnsi="Times New Roman"/>
          <w:sz w:val="20"/>
          <w:szCs w:val="20"/>
        </w:rPr>
        <w:tab/>
      </w:r>
      <w:r w:rsidR="00D4295A" w:rsidRPr="001654C6">
        <w:rPr>
          <w:rFonts w:ascii="Times New Roman" w:hAnsi="Times New Roman"/>
          <w:sz w:val="20"/>
          <w:szCs w:val="20"/>
        </w:rPr>
        <w:tab/>
      </w:r>
      <w:r w:rsidR="00D4295A" w:rsidRPr="001654C6">
        <w:rPr>
          <w:rFonts w:ascii="Times New Roman" w:hAnsi="Times New Roman"/>
          <w:sz w:val="20"/>
          <w:szCs w:val="20"/>
        </w:rPr>
        <w:tab/>
      </w:r>
      <w:r w:rsidRPr="001654C6">
        <w:rPr>
          <w:rFonts w:ascii="Times New Roman" w:hAnsi="Times New Roman"/>
          <w:sz w:val="20"/>
          <w:szCs w:val="20"/>
        </w:rPr>
        <w:t>Todd Webster</w:t>
      </w:r>
      <w:r w:rsidR="00D4295A" w:rsidRPr="001654C6">
        <w:rPr>
          <w:rFonts w:ascii="Times New Roman" w:hAnsi="Times New Roman"/>
          <w:sz w:val="20"/>
          <w:szCs w:val="20"/>
        </w:rPr>
        <w:tab/>
      </w:r>
      <w:r>
        <w:rPr>
          <w:rFonts w:ascii="Times New Roman" w:hAnsi="Times New Roman"/>
          <w:sz w:val="20"/>
          <w:szCs w:val="20"/>
        </w:rPr>
        <w:t>441</w:t>
      </w:r>
    </w:p>
    <w:p w:rsidR="001654C6" w:rsidRPr="001654C6" w:rsidRDefault="001654C6" w:rsidP="001654C6">
      <w:pPr>
        <w:shd w:val="clear" w:color="auto" w:fill="D9D9D9"/>
        <w:tabs>
          <w:tab w:val="left" w:pos="36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sz w:val="20"/>
          <w:szCs w:val="20"/>
        </w:rPr>
      </w:pPr>
      <w:r w:rsidRPr="001654C6">
        <w:rPr>
          <w:rFonts w:ascii="Times New Roman" w:hAnsi="Times New Roman"/>
          <w:sz w:val="20"/>
          <w:szCs w:val="20"/>
        </w:rPr>
        <w:tab/>
      </w:r>
      <w:r w:rsidRPr="001654C6">
        <w:rPr>
          <w:rFonts w:ascii="Times New Roman" w:hAnsi="Times New Roman"/>
          <w:sz w:val="20"/>
          <w:szCs w:val="20"/>
        </w:rPr>
        <w:tab/>
      </w:r>
      <w:r w:rsidR="00D4295A">
        <w:rPr>
          <w:rFonts w:ascii="Times New Roman" w:hAnsi="Times New Roman"/>
          <w:sz w:val="20"/>
          <w:szCs w:val="20"/>
        </w:rPr>
        <w:tab/>
      </w:r>
      <w:r w:rsidR="00D4295A">
        <w:rPr>
          <w:rFonts w:ascii="Times New Roman" w:hAnsi="Times New Roman"/>
          <w:sz w:val="20"/>
          <w:szCs w:val="20"/>
        </w:rPr>
        <w:tab/>
      </w:r>
      <w:r w:rsidR="00D4295A">
        <w:rPr>
          <w:rFonts w:ascii="Times New Roman" w:hAnsi="Times New Roman"/>
          <w:sz w:val="20"/>
          <w:szCs w:val="20"/>
        </w:rPr>
        <w:tab/>
      </w:r>
      <w:r w:rsidR="00D4295A">
        <w:rPr>
          <w:rFonts w:ascii="Times New Roman" w:hAnsi="Times New Roman"/>
          <w:sz w:val="20"/>
          <w:szCs w:val="20"/>
        </w:rPr>
        <w:tab/>
      </w:r>
      <w:r w:rsidR="00D4295A">
        <w:rPr>
          <w:rFonts w:ascii="Times New Roman" w:hAnsi="Times New Roman"/>
          <w:sz w:val="20"/>
          <w:szCs w:val="20"/>
        </w:rPr>
        <w:tab/>
      </w:r>
      <w:r w:rsidR="00D4295A">
        <w:rPr>
          <w:rFonts w:ascii="Times New Roman" w:hAnsi="Times New Roman"/>
          <w:sz w:val="20"/>
          <w:szCs w:val="20"/>
        </w:rPr>
        <w:tab/>
        <w:t>Lyra Burgess</w:t>
      </w:r>
      <w:r w:rsidR="00D4295A">
        <w:rPr>
          <w:rFonts w:ascii="Times New Roman" w:hAnsi="Times New Roman"/>
          <w:sz w:val="20"/>
          <w:szCs w:val="20"/>
        </w:rPr>
        <w:tab/>
        <w:t>309</w:t>
      </w:r>
    </w:p>
    <w:p w:rsidR="001654C6" w:rsidRPr="001654C6" w:rsidRDefault="001654C6" w:rsidP="001654C6">
      <w:pPr>
        <w:shd w:val="clear" w:color="auto" w:fill="D9D9D9"/>
        <w:tabs>
          <w:tab w:val="left" w:pos="36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sz w:val="20"/>
          <w:szCs w:val="20"/>
        </w:rPr>
      </w:pPr>
      <w:r w:rsidRPr="001654C6">
        <w:rPr>
          <w:rFonts w:ascii="Times New Roman" w:hAnsi="Times New Roman"/>
          <w:sz w:val="20"/>
          <w:szCs w:val="20"/>
        </w:rPr>
        <w:tab/>
      </w:r>
      <w:r w:rsidRPr="001654C6">
        <w:rPr>
          <w:rFonts w:ascii="Times New Roman" w:hAnsi="Times New Roman"/>
          <w:sz w:val="20"/>
          <w:szCs w:val="20"/>
        </w:rPr>
        <w:tab/>
      </w:r>
      <w:r w:rsidRPr="001654C6">
        <w:rPr>
          <w:rFonts w:ascii="Times New Roman" w:hAnsi="Times New Roman"/>
          <w:sz w:val="20"/>
          <w:szCs w:val="20"/>
        </w:rPr>
        <w:tab/>
      </w:r>
      <w:r w:rsidRPr="001654C6">
        <w:rPr>
          <w:rFonts w:ascii="Times New Roman" w:hAnsi="Times New Roman"/>
          <w:sz w:val="20"/>
          <w:szCs w:val="20"/>
        </w:rPr>
        <w:tab/>
      </w:r>
      <w:r w:rsidRPr="001654C6">
        <w:rPr>
          <w:rFonts w:ascii="Times New Roman" w:hAnsi="Times New Roman"/>
          <w:sz w:val="20"/>
          <w:szCs w:val="20"/>
        </w:rPr>
        <w:tab/>
      </w:r>
      <w:r w:rsidRPr="001654C6">
        <w:rPr>
          <w:rFonts w:ascii="Times New Roman" w:hAnsi="Times New Roman"/>
          <w:sz w:val="20"/>
          <w:szCs w:val="20"/>
        </w:rPr>
        <w:tab/>
      </w:r>
      <w:r w:rsidRPr="001654C6">
        <w:rPr>
          <w:rFonts w:ascii="Times New Roman" w:hAnsi="Times New Roman"/>
          <w:sz w:val="20"/>
          <w:szCs w:val="20"/>
        </w:rPr>
        <w:tab/>
      </w:r>
      <w:r w:rsidRPr="001654C6">
        <w:rPr>
          <w:rFonts w:ascii="Times New Roman" w:hAnsi="Times New Roman"/>
          <w:sz w:val="20"/>
          <w:szCs w:val="20"/>
        </w:rPr>
        <w:tab/>
        <w:t>Shelby Dover</w:t>
      </w:r>
      <w:r w:rsidRPr="001654C6">
        <w:rPr>
          <w:rFonts w:ascii="Times New Roman" w:hAnsi="Times New Roman"/>
          <w:sz w:val="20"/>
          <w:szCs w:val="20"/>
        </w:rPr>
        <w:tab/>
        <w:t>216</w:t>
      </w:r>
    </w:p>
    <w:p w:rsidR="001654C6" w:rsidRPr="0085502A" w:rsidRDefault="001654C6" w:rsidP="001654C6">
      <w:pPr>
        <w:tabs>
          <w:tab w:val="left" w:pos="360"/>
          <w:tab w:val="left" w:pos="3960"/>
          <w:tab w:val="left" w:pos="4860"/>
          <w:tab w:val="left" w:pos="6030"/>
          <w:tab w:val="left" w:pos="7110"/>
          <w:tab w:val="left" w:pos="7740"/>
          <w:tab w:val="left" w:pos="8460"/>
          <w:tab w:val="left" w:pos="10800"/>
        </w:tabs>
        <w:spacing w:after="0" w:line="240" w:lineRule="auto"/>
        <w:rPr>
          <w:rFonts w:ascii="Times New Roman" w:hAnsi="Times New Roman"/>
          <w:sz w:val="20"/>
          <w:szCs w:val="20"/>
        </w:rPr>
      </w:pPr>
    </w:p>
    <w:p w:rsidR="001654C6" w:rsidRPr="00017E90" w:rsidRDefault="001654C6" w:rsidP="001654C6">
      <w:pPr>
        <w:tabs>
          <w:tab w:val="left" w:pos="360"/>
          <w:tab w:val="left" w:pos="3780"/>
          <w:tab w:val="left" w:pos="4500"/>
          <w:tab w:val="left" w:pos="6120"/>
          <w:tab w:val="left" w:pos="6840"/>
          <w:tab w:val="left" w:pos="7560"/>
          <w:tab w:val="left" w:pos="8460"/>
          <w:tab w:val="left" w:pos="10800"/>
        </w:tabs>
        <w:spacing w:after="0" w:line="240" w:lineRule="auto"/>
        <w:rPr>
          <w:rFonts w:ascii="Times New Roman" w:hAnsi="Times New Roman"/>
          <w:sz w:val="20"/>
        </w:rPr>
      </w:pPr>
    </w:p>
    <w:p w:rsidR="001654C6" w:rsidRPr="00C1468D" w:rsidRDefault="001654C6" w:rsidP="001654C6">
      <w:pPr>
        <w:tabs>
          <w:tab w:val="left" w:pos="360"/>
          <w:tab w:val="left" w:pos="3780"/>
          <w:tab w:val="left" w:pos="4500"/>
          <w:tab w:val="left" w:pos="6120"/>
          <w:tab w:val="left" w:pos="6840"/>
          <w:tab w:val="left" w:pos="7560"/>
          <w:tab w:val="left" w:pos="8460"/>
          <w:tab w:val="left" w:pos="10800"/>
        </w:tabs>
        <w:spacing w:after="0" w:line="240" w:lineRule="auto"/>
        <w:rPr>
          <w:rFonts w:ascii="Times New Roman" w:hAnsi="Times New Roman"/>
          <w:sz w:val="20"/>
        </w:rPr>
      </w:pPr>
    </w:p>
    <w:p w:rsidR="001654C6" w:rsidRPr="00C1468D" w:rsidRDefault="001654C6" w:rsidP="001654C6">
      <w:pPr>
        <w:tabs>
          <w:tab w:val="left" w:pos="2160"/>
        </w:tabs>
        <w:spacing w:after="0" w:line="240" w:lineRule="auto"/>
        <w:rPr>
          <w:rFonts w:ascii="Times New Roman" w:hAnsi="Times New Roman"/>
          <w:sz w:val="20"/>
          <w:szCs w:val="20"/>
          <w:u w:val="single"/>
        </w:rPr>
      </w:pPr>
    </w:p>
    <w:p w:rsidR="001654C6" w:rsidRPr="00C1468D" w:rsidRDefault="001654C6" w:rsidP="001654C6">
      <w:pPr>
        <w:tabs>
          <w:tab w:val="left" w:pos="2160"/>
        </w:tabs>
        <w:spacing w:after="0" w:line="240" w:lineRule="auto"/>
        <w:rPr>
          <w:rFonts w:ascii="Times New Roman" w:hAnsi="Times New Roman"/>
          <w:sz w:val="20"/>
          <w:szCs w:val="20"/>
          <w:u w:val="single"/>
        </w:rPr>
      </w:pPr>
    </w:p>
    <w:p w:rsidR="001654C6" w:rsidRPr="00C1468D" w:rsidRDefault="001654C6" w:rsidP="001654C6">
      <w:pPr>
        <w:tabs>
          <w:tab w:val="left" w:pos="2160"/>
        </w:tabs>
        <w:spacing w:after="0" w:line="240" w:lineRule="auto"/>
        <w:rPr>
          <w:rFonts w:ascii="Times New Roman" w:hAnsi="Times New Roman"/>
          <w:sz w:val="20"/>
          <w:szCs w:val="20"/>
          <w:u w:val="single"/>
        </w:rPr>
      </w:pPr>
      <w:r w:rsidRPr="00C1468D">
        <w:rPr>
          <w:rFonts w:ascii="Times New Roman" w:hAnsi="Times New Roman"/>
          <w:sz w:val="20"/>
          <w:szCs w:val="20"/>
          <w:u w:val="single"/>
        </w:rPr>
        <w:tab/>
      </w:r>
    </w:p>
    <w:p w:rsidR="001654C6" w:rsidRPr="00C1468D" w:rsidRDefault="001654C6" w:rsidP="001654C6">
      <w:pPr>
        <w:tabs>
          <w:tab w:val="left" w:pos="2160"/>
        </w:tabs>
        <w:spacing w:after="0" w:line="240" w:lineRule="auto"/>
        <w:rPr>
          <w:rFonts w:ascii="Times New Roman" w:hAnsi="Times New Roman"/>
          <w:i/>
          <w:sz w:val="20"/>
          <w:szCs w:val="20"/>
        </w:rPr>
      </w:pPr>
      <w:r w:rsidRPr="00C1468D">
        <w:rPr>
          <w:rFonts w:ascii="Times New Roman" w:hAnsi="Times New Roman"/>
          <w:i/>
          <w:sz w:val="20"/>
          <w:szCs w:val="20"/>
        </w:rPr>
        <w:t>*(203) 847-0700</w:t>
      </w:r>
    </w:p>
    <w:p w:rsidR="001654C6" w:rsidRPr="00C1468D" w:rsidRDefault="001654C6" w:rsidP="001654C6">
      <w:pPr>
        <w:spacing w:after="0" w:line="240" w:lineRule="auto"/>
        <w:rPr>
          <w:rFonts w:ascii="Times New Roman" w:hAnsi="Times New Roman"/>
          <w:i/>
          <w:sz w:val="20"/>
          <w:szCs w:val="20"/>
        </w:rPr>
      </w:pPr>
    </w:p>
    <w:p w:rsidR="001654C6" w:rsidRPr="00C1468D" w:rsidRDefault="001654C6" w:rsidP="001654C6">
      <w:pPr>
        <w:spacing w:after="0" w:line="240" w:lineRule="auto"/>
        <w:rPr>
          <w:rFonts w:ascii="Times New Roman" w:hAnsi="Times New Roman"/>
          <w:i/>
          <w:sz w:val="20"/>
          <w:szCs w:val="20"/>
        </w:rPr>
      </w:pPr>
    </w:p>
    <w:p w:rsidR="001654C6" w:rsidRDefault="001654C6" w:rsidP="001654C6">
      <w:pPr>
        <w:tabs>
          <w:tab w:val="left" w:pos="3960"/>
          <w:tab w:val="left" w:pos="6840"/>
          <w:tab w:val="left" w:pos="7560"/>
        </w:tabs>
        <w:spacing w:after="0" w:line="240" w:lineRule="auto"/>
        <w:rPr>
          <w:rFonts w:ascii="Times New Roman" w:hAnsi="Times New Roman"/>
          <w:i/>
          <w:iCs/>
          <w:sz w:val="20"/>
          <w:szCs w:val="20"/>
        </w:rPr>
      </w:pPr>
      <w:r>
        <w:rPr>
          <w:rFonts w:ascii="Times New Roman" w:hAnsi="Times New Roman"/>
          <w:i/>
          <w:iCs/>
          <w:sz w:val="20"/>
          <w:szCs w:val="20"/>
        </w:rPr>
        <w:t>E</w:t>
      </w:r>
      <w:r w:rsidRPr="00C1468D">
        <w:rPr>
          <w:rFonts w:ascii="Times New Roman" w:hAnsi="Times New Roman"/>
          <w:i/>
          <w:iCs/>
          <w:sz w:val="20"/>
          <w:szCs w:val="20"/>
        </w:rPr>
        <w:t>D: Exposure Draft</w:t>
      </w:r>
      <w:r w:rsidRPr="00C1468D">
        <w:rPr>
          <w:rFonts w:ascii="Times New Roman" w:hAnsi="Times New Roman"/>
          <w:i/>
          <w:iCs/>
          <w:sz w:val="20"/>
          <w:szCs w:val="20"/>
        </w:rPr>
        <w:tab/>
        <w:t>Final: Statement, unless otherwise noted</w:t>
      </w:r>
    </w:p>
    <w:p w:rsidR="001654C6" w:rsidRDefault="001654C6" w:rsidP="001654C6">
      <w:pPr>
        <w:tabs>
          <w:tab w:val="left" w:pos="3960"/>
          <w:tab w:val="left" w:pos="6840"/>
          <w:tab w:val="left" w:pos="7560"/>
        </w:tabs>
        <w:spacing w:after="0" w:line="240" w:lineRule="auto"/>
        <w:rPr>
          <w:rFonts w:ascii="Times New Roman" w:hAnsi="Times New Roman"/>
          <w:i/>
          <w:iCs/>
          <w:sz w:val="20"/>
          <w:szCs w:val="20"/>
        </w:rPr>
      </w:pPr>
      <w:r w:rsidRPr="00C1468D">
        <w:rPr>
          <w:rFonts w:ascii="Times New Roman" w:hAnsi="Times New Roman"/>
          <w:i/>
          <w:iCs/>
          <w:sz w:val="20"/>
          <w:szCs w:val="20"/>
        </w:rPr>
        <w:t>ITC: Invitation to Comment</w:t>
      </w:r>
      <w:r>
        <w:rPr>
          <w:rFonts w:ascii="Times New Roman" w:hAnsi="Times New Roman"/>
          <w:i/>
          <w:iCs/>
          <w:sz w:val="20"/>
          <w:szCs w:val="20"/>
        </w:rPr>
        <w:t xml:space="preserve"> </w:t>
      </w:r>
      <w:r>
        <w:rPr>
          <w:rFonts w:ascii="Times New Roman" w:hAnsi="Times New Roman"/>
          <w:i/>
          <w:iCs/>
          <w:sz w:val="20"/>
          <w:szCs w:val="20"/>
        </w:rPr>
        <w:tab/>
      </w:r>
      <w:r w:rsidRPr="00C1468D">
        <w:rPr>
          <w:rFonts w:ascii="Times New Roman" w:hAnsi="Times New Roman"/>
          <w:i/>
          <w:iCs/>
          <w:sz w:val="20"/>
          <w:szCs w:val="20"/>
        </w:rPr>
        <w:t xml:space="preserve">PV: Preliminary Views </w:t>
      </w:r>
    </w:p>
    <w:p w:rsidR="001654C6" w:rsidRPr="00C1468D" w:rsidRDefault="001654C6" w:rsidP="001654C6">
      <w:pPr>
        <w:tabs>
          <w:tab w:val="left" w:pos="5760"/>
          <w:tab w:val="left" w:pos="6480"/>
        </w:tabs>
        <w:spacing w:after="0" w:line="240" w:lineRule="auto"/>
        <w:rPr>
          <w:rFonts w:ascii="Times New Roman" w:hAnsi="Times New Roman"/>
        </w:rPr>
      </w:pPr>
    </w:p>
    <w:p w:rsidR="001654C6" w:rsidRPr="0085502A" w:rsidRDefault="001654C6" w:rsidP="001654C6">
      <w:pPr>
        <w:spacing w:after="0" w:line="240" w:lineRule="auto"/>
        <w:rPr>
          <w:rFonts w:ascii="Times New Roman" w:hAnsi="Times New Roman"/>
          <w:b/>
          <w:i/>
          <w:sz w:val="20"/>
          <w:szCs w:val="20"/>
        </w:rPr>
      </w:pPr>
    </w:p>
    <w:p w:rsidR="001654C6" w:rsidRDefault="001654C6" w:rsidP="001654C6">
      <w:pPr>
        <w:spacing w:after="0" w:line="240" w:lineRule="auto"/>
        <w:rPr>
          <w:rFonts w:ascii="Times New Roman" w:hAnsi="Times New Roman"/>
          <w:b/>
          <w:i/>
        </w:rPr>
      </w:pPr>
    </w:p>
    <w:p w:rsidR="001654C6" w:rsidRPr="00C1468D" w:rsidRDefault="001654C6" w:rsidP="001654C6">
      <w:pPr>
        <w:spacing w:after="0" w:line="240" w:lineRule="auto"/>
        <w:rPr>
          <w:rFonts w:ascii="Times New Roman" w:hAnsi="Times New Roman"/>
        </w:rPr>
      </w:pPr>
      <w:r>
        <w:rPr>
          <w:rFonts w:ascii="Times New Roman" w:hAnsi="Times New Roman"/>
          <w:b/>
          <w:i/>
          <w:sz w:val="32"/>
          <w:szCs w:val="32"/>
        </w:rPr>
        <w:br w:type="page"/>
      </w:r>
    </w:p>
    <w:p w:rsidR="001654C6" w:rsidRPr="00C1468D" w:rsidRDefault="001654C6" w:rsidP="001654C6">
      <w:pPr>
        <w:spacing w:after="0" w:line="240" w:lineRule="auto"/>
        <w:rPr>
          <w:rFonts w:ascii="Times New Roman" w:hAnsi="Times New Roman"/>
        </w:rPr>
      </w:pPr>
    </w:p>
    <w:p w:rsidR="001654C6" w:rsidRPr="00BF6757" w:rsidRDefault="001654C6" w:rsidP="001654C6">
      <w:pPr>
        <w:pBdr>
          <w:top w:val="single" w:sz="24" w:space="0" w:color="auto"/>
        </w:pBdr>
        <w:tabs>
          <w:tab w:val="left" w:pos="360"/>
        </w:tabs>
        <w:spacing w:after="0" w:line="240" w:lineRule="auto"/>
        <w:jc w:val="both"/>
        <w:rPr>
          <w:rFonts w:ascii="Times New Roman" w:hAnsi="Times New Roman"/>
          <w:b/>
          <w:bCs/>
          <w:i/>
          <w:iCs/>
          <w:sz w:val="28"/>
          <w:szCs w:val="28"/>
        </w:rPr>
      </w:pPr>
    </w:p>
    <w:p w:rsidR="001654C6" w:rsidRPr="00BF6757" w:rsidRDefault="001654C6" w:rsidP="001654C6">
      <w:pPr>
        <w:spacing w:after="240" w:line="240" w:lineRule="auto"/>
        <w:rPr>
          <w:rFonts w:ascii="Times New Roman" w:hAnsi="Times New Roman"/>
          <w:b/>
          <w:i/>
          <w:sz w:val="28"/>
          <w:szCs w:val="28"/>
        </w:rPr>
      </w:pPr>
      <w:r w:rsidRPr="00BF6757">
        <w:rPr>
          <w:rFonts w:ascii="Times New Roman" w:hAnsi="Times New Roman"/>
          <w:b/>
          <w:i/>
          <w:sz w:val="28"/>
          <w:szCs w:val="28"/>
        </w:rPr>
        <w:t xml:space="preserve">GASB Current Technical Agenda: Overview </w:t>
      </w:r>
      <w:r w:rsidRPr="00BF6757">
        <w:rPr>
          <w:rFonts w:ascii="Times New Roman" w:hAnsi="Times New Roman"/>
        </w:rPr>
        <w:t xml:space="preserve">(As of </w:t>
      </w:r>
      <w:r w:rsidR="0025763F">
        <w:rPr>
          <w:rFonts w:ascii="Times New Roman" w:hAnsi="Times New Roman"/>
        </w:rPr>
        <w:t>4</w:t>
      </w:r>
      <w:r w:rsidRPr="00BF6757">
        <w:rPr>
          <w:rFonts w:ascii="Times New Roman" w:hAnsi="Times New Roman"/>
        </w:rPr>
        <w:t>/</w:t>
      </w:r>
      <w:r w:rsidR="0025763F">
        <w:rPr>
          <w:rFonts w:ascii="Times New Roman" w:hAnsi="Times New Roman"/>
        </w:rPr>
        <w:t>30</w:t>
      </w:r>
      <w:r w:rsidRPr="00BF6757">
        <w:rPr>
          <w:rFonts w:ascii="Times New Roman" w:hAnsi="Times New Roman"/>
        </w:rPr>
        <w:t>/1</w:t>
      </w:r>
      <w:r w:rsidR="0025763F">
        <w:rPr>
          <w:rFonts w:ascii="Times New Roman" w:hAnsi="Times New Roman"/>
        </w:rPr>
        <w:t>1</w:t>
      </w:r>
      <w:r w:rsidRPr="00BF6757">
        <w:rPr>
          <w:rFonts w:ascii="Times New Roman" w:hAnsi="Times New Roman"/>
        </w:rPr>
        <w:t>)</w:t>
      </w:r>
    </w:p>
    <w:p w:rsidR="001654C6" w:rsidRPr="00C1468D" w:rsidRDefault="001654C6" w:rsidP="001654C6">
      <w:pPr>
        <w:pBdr>
          <w:top w:val="single" w:sz="4" w:space="1" w:color="auto"/>
        </w:pBdr>
        <w:tabs>
          <w:tab w:val="left" w:pos="360"/>
        </w:tabs>
        <w:spacing w:after="0" w:line="240" w:lineRule="auto"/>
        <w:jc w:val="both"/>
        <w:rPr>
          <w:rFonts w:ascii="Times New Roman" w:hAnsi="Times New Roman"/>
          <w:b/>
          <w:bCs/>
        </w:rPr>
      </w:pPr>
    </w:p>
    <w:p w:rsidR="001654C6" w:rsidRPr="00C1468D" w:rsidRDefault="001654C6" w:rsidP="001654C6">
      <w:pPr>
        <w:tabs>
          <w:tab w:val="left" w:pos="3240"/>
          <w:tab w:val="left" w:pos="5580"/>
          <w:tab w:val="left" w:pos="8460"/>
          <w:tab w:val="left" w:pos="10440"/>
        </w:tabs>
        <w:spacing w:after="0" w:line="240" w:lineRule="auto"/>
        <w:rPr>
          <w:rFonts w:ascii="Times New Roman" w:hAnsi="Times New Roman"/>
          <w:b/>
          <w:bCs/>
        </w:rPr>
      </w:pPr>
      <w:r w:rsidRPr="00C1468D">
        <w:rPr>
          <w:rFonts w:ascii="Times New Roman" w:hAnsi="Times New Roman"/>
        </w:rPr>
        <w:tab/>
      </w:r>
      <w:r w:rsidRPr="00C1468D">
        <w:rPr>
          <w:rFonts w:ascii="Times New Roman" w:hAnsi="Times New Roman"/>
          <w:b/>
          <w:bCs/>
          <w:u w:val="single"/>
        </w:rPr>
        <w:t xml:space="preserve">          </w:t>
      </w:r>
      <w:r>
        <w:rPr>
          <w:rFonts w:ascii="Times New Roman" w:hAnsi="Times New Roman"/>
          <w:b/>
          <w:bCs/>
          <w:u w:val="single"/>
        </w:rPr>
        <w:t xml:space="preserve"> </w:t>
      </w:r>
      <w:r w:rsidRPr="00C1468D">
        <w:rPr>
          <w:rFonts w:ascii="Times New Roman" w:hAnsi="Times New Roman"/>
          <w:b/>
          <w:bCs/>
          <w:u w:val="single"/>
        </w:rPr>
        <w:t xml:space="preserve">           </w:t>
      </w:r>
      <w:r>
        <w:rPr>
          <w:rFonts w:ascii="Times New Roman" w:hAnsi="Times New Roman"/>
          <w:b/>
          <w:bCs/>
          <w:u w:val="single"/>
        </w:rPr>
        <w:t xml:space="preserve">    </w:t>
      </w:r>
      <w:r w:rsidRPr="00C1468D">
        <w:rPr>
          <w:rFonts w:ascii="Times New Roman" w:hAnsi="Times New Roman"/>
          <w:b/>
          <w:bCs/>
          <w:u w:val="single"/>
        </w:rPr>
        <w:t>Issued</w:t>
      </w:r>
      <w:r w:rsidRPr="00C1468D">
        <w:rPr>
          <w:rFonts w:ascii="Times New Roman" w:hAnsi="Times New Roman"/>
          <w:b/>
          <w:bCs/>
        </w:rPr>
        <w:tab/>
      </w:r>
      <w:r>
        <w:rPr>
          <w:rFonts w:ascii="Times New Roman" w:hAnsi="Times New Roman"/>
          <w:b/>
          <w:bCs/>
          <w:u w:val="single"/>
        </w:rPr>
        <w:t xml:space="preserve">     </w:t>
      </w:r>
      <w:r w:rsidRPr="00C1468D">
        <w:rPr>
          <w:rFonts w:ascii="Times New Roman" w:hAnsi="Times New Roman"/>
          <w:b/>
          <w:bCs/>
          <w:u w:val="single"/>
        </w:rPr>
        <w:t xml:space="preserve">              </w:t>
      </w:r>
      <w:r>
        <w:rPr>
          <w:rFonts w:ascii="Times New Roman" w:hAnsi="Times New Roman"/>
          <w:b/>
          <w:bCs/>
          <w:u w:val="single"/>
        </w:rPr>
        <w:t xml:space="preserve">   </w:t>
      </w:r>
      <w:r w:rsidRPr="00C1468D">
        <w:rPr>
          <w:rFonts w:ascii="Times New Roman" w:hAnsi="Times New Roman"/>
          <w:b/>
          <w:bCs/>
          <w:u w:val="single"/>
        </w:rPr>
        <w:t xml:space="preserve"> </w:t>
      </w:r>
      <w:r w:rsidRPr="00C1468D">
        <w:rPr>
          <w:rFonts w:ascii="Times New Roman" w:hAnsi="Times New Roman"/>
          <w:u w:val="single"/>
        </w:rPr>
        <w:t xml:space="preserve">    </w:t>
      </w:r>
      <w:r w:rsidRPr="00C1468D">
        <w:rPr>
          <w:rFonts w:ascii="Times New Roman" w:hAnsi="Times New Roman"/>
          <w:b/>
          <w:bCs/>
          <w:u w:val="single"/>
        </w:rPr>
        <w:t>To Be Issued</w:t>
      </w:r>
      <w:r w:rsidRPr="00C1468D">
        <w:rPr>
          <w:rFonts w:ascii="Times New Roman" w:hAnsi="Times New Roman"/>
          <w:b/>
          <w:bCs/>
        </w:rPr>
        <w:tab/>
        <w:t>Staff/Consultant</w:t>
      </w:r>
      <w:r w:rsidRPr="00C1468D">
        <w:rPr>
          <w:rFonts w:ascii="Times New Roman" w:hAnsi="Times New Roman"/>
          <w:b/>
          <w:bCs/>
        </w:rPr>
        <w:tab/>
        <w:t xml:space="preserve"> Phone*</w:t>
      </w:r>
    </w:p>
    <w:p w:rsidR="001654C6" w:rsidRPr="00C1468D" w:rsidRDefault="001654C6" w:rsidP="001654C6">
      <w:pPr>
        <w:tabs>
          <w:tab w:val="left" w:pos="360"/>
          <w:tab w:val="left" w:pos="2880"/>
          <w:tab w:val="left" w:pos="4950"/>
          <w:tab w:val="left" w:pos="5670"/>
          <w:tab w:val="left" w:pos="7110"/>
          <w:tab w:val="left" w:pos="7740"/>
          <w:tab w:val="left" w:pos="8460"/>
          <w:tab w:val="left" w:pos="10260"/>
        </w:tabs>
        <w:spacing w:after="0" w:line="240" w:lineRule="auto"/>
        <w:rPr>
          <w:rFonts w:ascii="Times New Roman" w:hAnsi="Times New Roman"/>
          <w:b/>
          <w:bCs/>
        </w:rPr>
      </w:pPr>
      <w:r w:rsidRPr="00C1468D">
        <w:rPr>
          <w:rFonts w:ascii="Times New Roman" w:hAnsi="Times New Roman"/>
          <w:b/>
          <w:bCs/>
        </w:rPr>
        <w:t>Project</w:t>
      </w:r>
      <w:r w:rsidRPr="00C1468D">
        <w:rPr>
          <w:rFonts w:ascii="Times New Roman" w:hAnsi="Times New Roman"/>
          <w:b/>
          <w:bCs/>
        </w:rPr>
        <w:tab/>
      </w:r>
      <w:r w:rsidR="00524002">
        <w:rPr>
          <w:rFonts w:ascii="Times New Roman" w:hAnsi="Times New Roman"/>
          <w:b/>
          <w:bCs/>
        </w:rPr>
        <w:t xml:space="preserve">       </w:t>
      </w:r>
      <w:r w:rsidRPr="00C1468D">
        <w:rPr>
          <w:rFonts w:ascii="Times New Roman" w:hAnsi="Times New Roman"/>
          <w:b/>
          <w:bCs/>
        </w:rPr>
        <w:t>ITC/PV</w:t>
      </w:r>
      <w:r w:rsidRPr="00C1468D">
        <w:rPr>
          <w:rFonts w:ascii="Times New Roman" w:hAnsi="Times New Roman"/>
          <w:b/>
          <w:bCs/>
        </w:rPr>
        <w:tab/>
        <w:t>ED</w:t>
      </w:r>
      <w:r w:rsidRPr="00C1468D">
        <w:rPr>
          <w:rFonts w:ascii="Times New Roman" w:hAnsi="Times New Roman"/>
          <w:b/>
          <w:bCs/>
        </w:rPr>
        <w:tab/>
        <w:t>ITC/PV</w:t>
      </w:r>
      <w:r w:rsidRPr="00C1468D">
        <w:rPr>
          <w:rFonts w:ascii="Times New Roman" w:hAnsi="Times New Roman"/>
          <w:b/>
          <w:bCs/>
        </w:rPr>
        <w:tab/>
      </w:r>
      <w:r>
        <w:rPr>
          <w:rFonts w:ascii="Times New Roman" w:hAnsi="Times New Roman"/>
          <w:b/>
          <w:bCs/>
        </w:rPr>
        <w:t xml:space="preserve">  </w:t>
      </w:r>
      <w:r w:rsidRPr="00C1468D">
        <w:rPr>
          <w:rFonts w:ascii="Times New Roman" w:hAnsi="Times New Roman"/>
          <w:b/>
          <w:bCs/>
        </w:rPr>
        <w:t>ED</w:t>
      </w:r>
      <w:r w:rsidRPr="00C1468D">
        <w:rPr>
          <w:rFonts w:ascii="Times New Roman" w:hAnsi="Times New Roman"/>
          <w:b/>
          <w:bCs/>
        </w:rPr>
        <w:tab/>
        <w:t>Final</w:t>
      </w:r>
      <w:r w:rsidRPr="00C1468D">
        <w:rPr>
          <w:rFonts w:ascii="Times New Roman" w:hAnsi="Times New Roman"/>
          <w:b/>
          <w:bCs/>
        </w:rPr>
        <w:tab/>
        <w:t>Assigned</w:t>
      </w:r>
      <w:r w:rsidRPr="00C1468D">
        <w:rPr>
          <w:rFonts w:ascii="Times New Roman" w:hAnsi="Times New Roman"/>
          <w:b/>
          <w:bCs/>
        </w:rPr>
        <w:tab/>
        <w:t>Extension</w:t>
      </w:r>
    </w:p>
    <w:p w:rsidR="001654C6" w:rsidRPr="00C1468D" w:rsidRDefault="001654C6" w:rsidP="001654C6">
      <w:pPr>
        <w:tabs>
          <w:tab w:val="left" w:pos="360"/>
          <w:tab w:val="left" w:pos="2880"/>
          <w:tab w:val="left" w:pos="4320"/>
          <w:tab w:val="left" w:pos="5220"/>
          <w:tab w:val="left" w:pos="7200"/>
          <w:tab w:val="left" w:pos="8100"/>
          <w:tab w:val="left" w:pos="8820"/>
          <w:tab w:val="left" w:pos="10260"/>
        </w:tabs>
        <w:spacing w:after="0" w:line="240" w:lineRule="auto"/>
        <w:rPr>
          <w:rFonts w:ascii="Times New Roman" w:hAnsi="Times New Roman"/>
          <w:sz w:val="20"/>
        </w:rPr>
      </w:pPr>
    </w:p>
    <w:p w:rsidR="001654C6" w:rsidRPr="006A77CB" w:rsidRDefault="001654C6" w:rsidP="001654C6">
      <w:pPr>
        <w:spacing w:after="0" w:line="240" w:lineRule="auto"/>
        <w:rPr>
          <w:rFonts w:ascii="Times New Roman" w:hAnsi="Times New Roman"/>
          <w:b/>
        </w:rPr>
      </w:pPr>
      <w:r w:rsidRPr="006A77CB">
        <w:rPr>
          <w:rFonts w:ascii="Times New Roman" w:hAnsi="Times New Roman"/>
          <w:b/>
        </w:rPr>
        <w:t>Practice Issues:</w:t>
      </w:r>
    </w:p>
    <w:p w:rsidR="001654C6" w:rsidRPr="0099164D" w:rsidRDefault="001654C6" w:rsidP="001654C6">
      <w:pPr>
        <w:spacing w:after="0" w:line="240" w:lineRule="auto"/>
        <w:rPr>
          <w:rFonts w:ascii="Times New Roman" w:hAnsi="Times New Roman"/>
          <w:i/>
          <w:sz w:val="20"/>
          <w:szCs w:val="20"/>
        </w:rPr>
      </w:pPr>
    </w:p>
    <w:p w:rsidR="001654C6" w:rsidRPr="000A29D3" w:rsidRDefault="001654C6" w:rsidP="001654C6">
      <w:pPr>
        <w:shd w:val="clear" w:color="auto" w:fill="D9D9D9"/>
        <w:tabs>
          <w:tab w:val="left" w:pos="360"/>
          <w:tab w:val="left" w:pos="3780"/>
          <w:tab w:val="left" w:pos="4950"/>
          <w:tab w:val="left" w:pos="6120"/>
          <w:tab w:val="left" w:pos="7200"/>
          <w:tab w:val="left" w:pos="7830"/>
          <w:tab w:val="left" w:pos="8460"/>
          <w:tab w:val="left" w:pos="10800"/>
        </w:tabs>
        <w:spacing w:after="0" w:line="240" w:lineRule="auto"/>
        <w:rPr>
          <w:rFonts w:ascii="Times New Roman" w:hAnsi="Times New Roman"/>
          <w:sz w:val="20"/>
          <w:szCs w:val="20"/>
        </w:rPr>
      </w:pPr>
      <w:r w:rsidRPr="000A29D3">
        <w:rPr>
          <w:rFonts w:ascii="Times New Roman" w:hAnsi="Times New Roman"/>
          <w:sz w:val="20"/>
          <w:szCs w:val="20"/>
        </w:rPr>
        <w:t xml:space="preserve">Comprehensive Implementation </w:t>
      </w:r>
      <w:r>
        <w:rPr>
          <w:rFonts w:ascii="Times New Roman" w:hAnsi="Times New Roman"/>
          <w:sz w:val="20"/>
          <w:szCs w:val="20"/>
        </w:rPr>
        <w:t>Guide—</w:t>
      </w:r>
      <w:r w:rsidRPr="000A29D3">
        <w:rPr>
          <w:rFonts w:ascii="Times New Roman" w:hAnsi="Times New Roman"/>
          <w:sz w:val="20"/>
          <w:szCs w:val="20"/>
        </w:rPr>
        <w:tab/>
      </w:r>
      <w:r w:rsidRPr="000A29D3">
        <w:rPr>
          <w:rFonts w:ascii="Times New Roman" w:hAnsi="Times New Roman"/>
          <w:sz w:val="20"/>
          <w:szCs w:val="20"/>
        </w:rPr>
        <w:tab/>
      </w:r>
      <w:r w:rsidRPr="000A29D3">
        <w:rPr>
          <w:rFonts w:ascii="Times New Roman" w:hAnsi="Times New Roman"/>
          <w:sz w:val="20"/>
          <w:szCs w:val="20"/>
        </w:rPr>
        <w:tab/>
      </w:r>
      <w:r w:rsidRPr="000A29D3">
        <w:rPr>
          <w:rFonts w:ascii="Times New Roman" w:hAnsi="Times New Roman"/>
          <w:sz w:val="20"/>
          <w:szCs w:val="20"/>
        </w:rPr>
        <w:tab/>
      </w:r>
      <w:r w:rsidRPr="000A29D3">
        <w:rPr>
          <w:rFonts w:ascii="Times New Roman" w:hAnsi="Times New Roman"/>
          <w:sz w:val="20"/>
          <w:szCs w:val="20"/>
        </w:rPr>
        <w:tab/>
      </w:r>
      <w:r w:rsidRPr="000A29D3">
        <w:rPr>
          <w:rFonts w:ascii="Times New Roman" w:hAnsi="Times New Roman"/>
          <w:sz w:val="20"/>
          <w:szCs w:val="20"/>
        </w:rPr>
        <w:tab/>
      </w:r>
      <w:r>
        <w:rPr>
          <w:rFonts w:ascii="Times New Roman" w:hAnsi="Times New Roman"/>
          <w:sz w:val="20"/>
          <w:szCs w:val="20"/>
        </w:rPr>
        <w:t>Jeff Bridgens</w:t>
      </w:r>
      <w:r>
        <w:rPr>
          <w:rFonts w:ascii="Times New Roman" w:hAnsi="Times New Roman"/>
          <w:sz w:val="20"/>
          <w:szCs w:val="20"/>
        </w:rPr>
        <w:tab/>
        <w:t>210</w:t>
      </w:r>
    </w:p>
    <w:p w:rsidR="00524002" w:rsidRDefault="00524002" w:rsidP="001654C6">
      <w:pPr>
        <w:shd w:val="clear" w:color="auto" w:fill="D9D9D9"/>
        <w:tabs>
          <w:tab w:val="left" w:pos="360"/>
          <w:tab w:val="left" w:pos="3780"/>
          <w:tab w:val="left" w:pos="4950"/>
          <w:tab w:val="left" w:pos="6120"/>
          <w:tab w:val="left" w:pos="7200"/>
          <w:tab w:val="left" w:pos="7830"/>
          <w:tab w:val="left" w:pos="8460"/>
          <w:tab w:val="left" w:pos="10800"/>
        </w:tabs>
        <w:spacing w:after="0" w:line="240" w:lineRule="auto"/>
        <w:rPr>
          <w:rFonts w:ascii="Times New Roman" w:hAnsi="Times New Roman"/>
          <w:sz w:val="20"/>
          <w:szCs w:val="20"/>
        </w:rPr>
      </w:pPr>
      <w:r>
        <w:rPr>
          <w:rFonts w:ascii="Times New Roman" w:hAnsi="Times New Roman"/>
          <w:sz w:val="20"/>
          <w:szCs w:val="20"/>
        </w:rPr>
        <w:t xml:space="preserve">  Annual Update</w:t>
      </w:r>
      <w:r w:rsidRPr="000A29D3">
        <w:rPr>
          <w:rFonts w:ascii="Times New Roman" w:hAnsi="Times New Roman"/>
          <w:sz w:val="20"/>
          <w:szCs w:val="20"/>
        </w:rPr>
        <w:tab/>
        <w:t>—</w:t>
      </w:r>
      <w:r w:rsidRPr="000A29D3">
        <w:rPr>
          <w:rFonts w:ascii="Times New Roman" w:hAnsi="Times New Roman"/>
          <w:sz w:val="20"/>
          <w:szCs w:val="20"/>
        </w:rPr>
        <w:tab/>
        <w:t>—</w:t>
      </w:r>
      <w:r w:rsidRPr="000A29D3">
        <w:rPr>
          <w:rFonts w:ascii="Times New Roman" w:hAnsi="Times New Roman"/>
          <w:sz w:val="20"/>
          <w:szCs w:val="20"/>
        </w:rPr>
        <w:tab/>
        <w:t>—</w:t>
      </w:r>
      <w:r w:rsidRPr="000A29D3">
        <w:rPr>
          <w:rFonts w:ascii="Times New Roman" w:hAnsi="Times New Roman"/>
          <w:sz w:val="20"/>
          <w:szCs w:val="20"/>
        </w:rPr>
        <w:tab/>
        <w:t>—</w:t>
      </w:r>
      <w:r w:rsidRPr="000A29D3">
        <w:rPr>
          <w:rFonts w:ascii="Times New Roman" w:hAnsi="Times New Roman"/>
          <w:sz w:val="20"/>
          <w:szCs w:val="20"/>
        </w:rPr>
        <w:tab/>
      </w:r>
      <w:r>
        <w:rPr>
          <w:rFonts w:ascii="Times New Roman" w:hAnsi="Times New Roman"/>
          <w:sz w:val="20"/>
          <w:szCs w:val="20"/>
        </w:rPr>
        <w:t>3</w:t>
      </w:r>
      <w:r w:rsidRPr="000A29D3">
        <w:rPr>
          <w:rFonts w:ascii="Times New Roman" w:hAnsi="Times New Roman"/>
          <w:sz w:val="20"/>
          <w:szCs w:val="20"/>
        </w:rPr>
        <w:t>Q1</w:t>
      </w:r>
      <w:r>
        <w:rPr>
          <w:rFonts w:ascii="Times New Roman" w:hAnsi="Times New Roman"/>
          <w:sz w:val="20"/>
          <w:szCs w:val="20"/>
        </w:rPr>
        <w:t>1</w:t>
      </w:r>
      <w:r>
        <w:rPr>
          <w:rFonts w:ascii="Times New Roman" w:hAnsi="Times New Roman"/>
          <w:sz w:val="20"/>
          <w:szCs w:val="20"/>
        </w:rPr>
        <w:tab/>
      </w:r>
      <w:r w:rsidRPr="000A29D3">
        <w:rPr>
          <w:rFonts w:ascii="Times New Roman" w:hAnsi="Times New Roman"/>
          <w:sz w:val="20"/>
          <w:szCs w:val="20"/>
        </w:rPr>
        <w:t>Michelle Czerkawski</w:t>
      </w:r>
      <w:r w:rsidRPr="000A29D3">
        <w:rPr>
          <w:rFonts w:ascii="Times New Roman" w:hAnsi="Times New Roman"/>
          <w:sz w:val="20"/>
          <w:szCs w:val="20"/>
        </w:rPr>
        <w:tab/>
        <w:t>293</w:t>
      </w:r>
    </w:p>
    <w:p w:rsidR="001654C6" w:rsidRPr="000A29D3" w:rsidRDefault="001654C6" w:rsidP="001654C6">
      <w:pPr>
        <w:shd w:val="clear" w:color="auto" w:fill="D9D9D9"/>
        <w:tabs>
          <w:tab w:val="left" w:pos="360"/>
          <w:tab w:val="left" w:pos="3780"/>
          <w:tab w:val="left" w:pos="4950"/>
          <w:tab w:val="left" w:pos="6120"/>
          <w:tab w:val="left" w:pos="7200"/>
          <w:tab w:val="left" w:pos="7830"/>
          <w:tab w:val="left" w:pos="8460"/>
          <w:tab w:val="left" w:pos="10800"/>
        </w:tabs>
        <w:spacing w:after="0" w:line="240" w:lineRule="auto"/>
        <w:rPr>
          <w:rFonts w:ascii="Times New Roman" w:hAnsi="Times New Roman"/>
          <w:sz w:val="20"/>
          <w:szCs w:val="20"/>
        </w:rPr>
      </w:pPr>
      <w:r w:rsidRPr="000A29D3">
        <w:rPr>
          <w:rFonts w:ascii="Times New Roman" w:hAnsi="Times New Roman"/>
          <w:sz w:val="20"/>
          <w:szCs w:val="20"/>
        </w:rPr>
        <w:t xml:space="preserve">  </w:t>
      </w:r>
      <w:r>
        <w:rPr>
          <w:rFonts w:ascii="Times New Roman" w:hAnsi="Times New Roman"/>
          <w:sz w:val="20"/>
          <w:szCs w:val="20"/>
        </w:rPr>
        <w:t>Mid-Year Supplement</w:t>
      </w:r>
      <w:r>
        <w:rPr>
          <w:rFonts w:ascii="Times New Roman" w:hAnsi="Times New Roman"/>
          <w:sz w:val="20"/>
          <w:szCs w:val="20"/>
        </w:rPr>
        <w:tab/>
      </w:r>
      <w:r w:rsidRPr="000A29D3">
        <w:rPr>
          <w:rFonts w:ascii="Times New Roman" w:hAnsi="Times New Roman"/>
          <w:sz w:val="20"/>
          <w:szCs w:val="20"/>
        </w:rPr>
        <w:t>—</w:t>
      </w:r>
      <w:r w:rsidRPr="000A29D3">
        <w:rPr>
          <w:rFonts w:ascii="Times New Roman" w:hAnsi="Times New Roman"/>
          <w:sz w:val="20"/>
          <w:szCs w:val="20"/>
        </w:rPr>
        <w:tab/>
        <w:t>—</w:t>
      </w:r>
      <w:r w:rsidRPr="000A29D3">
        <w:rPr>
          <w:rFonts w:ascii="Times New Roman" w:hAnsi="Times New Roman"/>
          <w:sz w:val="20"/>
          <w:szCs w:val="20"/>
        </w:rPr>
        <w:tab/>
        <w:t>—</w:t>
      </w:r>
      <w:r w:rsidRPr="000A29D3">
        <w:rPr>
          <w:rFonts w:ascii="Times New Roman" w:hAnsi="Times New Roman"/>
          <w:sz w:val="20"/>
          <w:szCs w:val="20"/>
        </w:rPr>
        <w:tab/>
        <w:t>—</w:t>
      </w:r>
      <w:r w:rsidRPr="000A29D3">
        <w:rPr>
          <w:rFonts w:ascii="Times New Roman" w:hAnsi="Times New Roman"/>
          <w:sz w:val="20"/>
          <w:szCs w:val="20"/>
        </w:rPr>
        <w:tab/>
      </w:r>
      <w:r w:rsidR="00524002">
        <w:rPr>
          <w:rFonts w:ascii="Times New Roman" w:hAnsi="Times New Roman"/>
          <w:sz w:val="20"/>
          <w:szCs w:val="20"/>
        </w:rPr>
        <w:t>1</w:t>
      </w:r>
      <w:r w:rsidRPr="000A29D3">
        <w:rPr>
          <w:rFonts w:ascii="Times New Roman" w:hAnsi="Times New Roman"/>
          <w:sz w:val="20"/>
          <w:szCs w:val="20"/>
        </w:rPr>
        <w:t>Q1</w:t>
      </w:r>
      <w:r w:rsidR="00524002">
        <w:rPr>
          <w:rFonts w:ascii="Times New Roman" w:hAnsi="Times New Roman"/>
          <w:sz w:val="20"/>
          <w:szCs w:val="20"/>
        </w:rPr>
        <w:t>2</w:t>
      </w:r>
      <w:r>
        <w:rPr>
          <w:rFonts w:ascii="Times New Roman" w:hAnsi="Times New Roman"/>
          <w:sz w:val="20"/>
          <w:szCs w:val="20"/>
        </w:rPr>
        <w:tab/>
      </w:r>
      <w:r w:rsidRPr="000A29D3">
        <w:rPr>
          <w:rFonts w:ascii="Times New Roman" w:hAnsi="Times New Roman"/>
          <w:sz w:val="20"/>
          <w:szCs w:val="20"/>
        </w:rPr>
        <w:t>Ken Schermann</w:t>
      </w:r>
      <w:r w:rsidRPr="000A29D3">
        <w:rPr>
          <w:rFonts w:ascii="Times New Roman" w:hAnsi="Times New Roman"/>
          <w:sz w:val="20"/>
          <w:szCs w:val="20"/>
        </w:rPr>
        <w:tab/>
        <w:t>206</w:t>
      </w:r>
    </w:p>
    <w:p w:rsidR="001654C6" w:rsidRPr="000A29D3" w:rsidRDefault="001654C6" w:rsidP="001654C6">
      <w:pPr>
        <w:shd w:val="clear" w:color="auto" w:fill="D9D9D9"/>
        <w:tabs>
          <w:tab w:val="left" w:pos="360"/>
          <w:tab w:val="left" w:pos="3780"/>
          <w:tab w:val="left" w:pos="4950"/>
          <w:tab w:val="left" w:pos="6120"/>
          <w:tab w:val="left" w:pos="7200"/>
          <w:tab w:val="left" w:pos="7830"/>
          <w:tab w:val="left" w:pos="8460"/>
          <w:tab w:val="left" w:pos="10800"/>
        </w:tabs>
        <w:spacing w:after="0" w:line="240" w:lineRule="auto"/>
        <w:rPr>
          <w:rFonts w:ascii="Times New Roman" w:hAnsi="Times New Roman"/>
          <w:sz w:val="20"/>
          <w:szCs w:val="20"/>
        </w:rPr>
      </w:pPr>
      <w:r w:rsidRPr="000A29D3">
        <w:rPr>
          <w:rFonts w:ascii="Times New Roman" w:hAnsi="Times New Roman"/>
          <w:sz w:val="20"/>
          <w:szCs w:val="20"/>
        </w:rPr>
        <w:tab/>
      </w:r>
      <w:r w:rsidRPr="000A29D3">
        <w:rPr>
          <w:rFonts w:ascii="Times New Roman" w:hAnsi="Times New Roman"/>
          <w:sz w:val="20"/>
          <w:szCs w:val="20"/>
        </w:rPr>
        <w:tab/>
      </w:r>
      <w:r w:rsidRPr="000A29D3">
        <w:rPr>
          <w:rFonts w:ascii="Times New Roman" w:hAnsi="Times New Roman"/>
          <w:sz w:val="20"/>
          <w:szCs w:val="20"/>
        </w:rPr>
        <w:tab/>
      </w:r>
      <w:r w:rsidRPr="000A29D3">
        <w:rPr>
          <w:rFonts w:ascii="Times New Roman" w:hAnsi="Times New Roman"/>
          <w:sz w:val="20"/>
          <w:szCs w:val="20"/>
        </w:rPr>
        <w:tab/>
      </w:r>
      <w:r w:rsidRPr="000A29D3">
        <w:rPr>
          <w:rFonts w:ascii="Times New Roman" w:hAnsi="Times New Roman"/>
          <w:sz w:val="20"/>
          <w:szCs w:val="20"/>
        </w:rPr>
        <w:tab/>
      </w:r>
      <w:r w:rsidRPr="000A29D3">
        <w:rPr>
          <w:rFonts w:ascii="Times New Roman" w:hAnsi="Times New Roman"/>
          <w:sz w:val="20"/>
          <w:szCs w:val="20"/>
        </w:rPr>
        <w:tab/>
      </w:r>
      <w:r w:rsidRPr="000A29D3">
        <w:rPr>
          <w:rFonts w:ascii="Times New Roman" w:hAnsi="Times New Roman"/>
          <w:sz w:val="20"/>
          <w:szCs w:val="20"/>
        </w:rPr>
        <w:tab/>
        <w:t>Randy Finden</w:t>
      </w:r>
      <w:r w:rsidRPr="000A29D3">
        <w:rPr>
          <w:rFonts w:ascii="Times New Roman" w:hAnsi="Times New Roman"/>
          <w:sz w:val="20"/>
          <w:szCs w:val="20"/>
        </w:rPr>
        <w:tab/>
        <w:t>240</w:t>
      </w:r>
    </w:p>
    <w:p w:rsidR="001654C6" w:rsidRPr="000A29D3" w:rsidRDefault="001654C6" w:rsidP="001654C6">
      <w:pPr>
        <w:shd w:val="clear" w:color="auto" w:fill="D9D9D9"/>
        <w:tabs>
          <w:tab w:val="left" w:pos="360"/>
          <w:tab w:val="left" w:pos="3780"/>
          <w:tab w:val="left" w:pos="4950"/>
          <w:tab w:val="left" w:pos="6120"/>
          <w:tab w:val="left" w:pos="7200"/>
          <w:tab w:val="left" w:pos="7830"/>
          <w:tab w:val="left" w:pos="8460"/>
          <w:tab w:val="left" w:pos="10800"/>
        </w:tabs>
        <w:spacing w:after="0" w:line="240" w:lineRule="auto"/>
        <w:rPr>
          <w:rFonts w:ascii="Times New Roman" w:hAnsi="Times New Roman"/>
          <w:sz w:val="20"/>
          <w:szCs w:val="20"/>
        </w:rPr>
      </w:pPr>
      <w:r w:rsidRPr="000A29D3">
        <w:rPr>
          <w:rFonts w:ascii="Times New Roman" w:hAnsi="Times New Roman"/>
          <w:sz w:val="20"/>
          <w:szCs w:val="20"/>
        </w:rPr>
        <w:tab/>
      </w:r>
      <w:r w:rsidRPr="000A29D3">
        <w:rPr>
          <w:rFonts w:ascii="Times New Roman" w:hAnsi="Times New Roman"/>
          <w:sz w:val="20"/>
          <w:szCs w:val="20"/>
        </w:rPr>
        <w:tab/>
      </w:r>
      <w:r w:rsidRPr="000A29D3">
        <w:rPr>
          <w:rFonts w:ascii="Times New Roman" w:hAnsi="Times New Roman"/>
          <w:sz w:val="20"/>
          <w:szCs w:val="20"/>
        </w:rPr>
        <w:tab/>
      </w:r>
      <w:r w:rsidRPr="000A29D3">
        <w:rPr>
          <w:rFonts w:ascii="Times New Roman" w:hAnsi="Times New Roman"/>
          <w:sz w:val="20"/>
          <w:szCs w:val="20"/>
        </w:rPr>
        <w:tab/>
      </w:r>
      <w:r w:rsidRPr="000A29D3">
        <w:rPr>
          <w:rFonts w:ascii="Times New Roman" w:hAnsi="Times New Roman"/>
          <w:sz w:val="20"/>
          <w:szCs w:val="20"/>
        </w:rPr>
        <w:tab/>
      </w:r>
      <w:r w:rsidRPr="000A29D3">
        <w:rPr>
          <w:rFonts w:ascii="Times New Roman" w:hAnsi="Times New Roman"/>
          <w:sz w:val="20"/>
          <w:szCs w:val="20"/>
        </w:rPr>
        <w:tab/>
      </w:r>
      <w:r w:rsidRPr="000A29D3">
        <w:rPr>
          <w:rFonts w:ascii="Times New Roman" w:hAnsi="Times New Roman"/>
          <w:sz w:val="20"/>
          <w:szCs w:val="20"/>
        </w:rPr>
        <w:tab/>
        <w:t>Wesley Galloway</w:t>
      </w:r>
      <w:r w:rsidRPr="000A29D3">
        <w:rPr>
          <w:rFonts w:ascii="Times New Roman" w:hAnsi="Times New Roman"/>
          <w:sz w:val="20"/>
          <w:szCs w:val="20"/>
        </w:rPr>
        <w:tab/>
        <w:t>272</w:t>
      </w:r>
    </w:p>
    <w:p w:rsidR="001654C6" w:rsidRPr="000A29D3" w:rsidRDefault="001654C6" w:rsidP="001654C6">
      <w:pPr>
        <w:shd w:val="clear" w:color="auto" w:fill="D9D9D9"/>
        <w:tabs>
          <w:tab w:val="left" w:pos="360"/>
          <w:tab w:val="left" w:pos="3780"/>
          <w:tab w:val="left" w:pos="4950"/>
          <w:tab w:val="left" w:pos="6120"/>
          <w:tab w:val="left" w:pos="7200"/>
          <w:tab w:val="left" w:pos="7830"/>
          <w:tab w:val="left" w:pos="8460"/>
          <w:tab w:val="left" w:pos="10800"/>
        </w:tabs>
        <w:spacing w:after="0" w:line="240" w:lineRule="auto"/>
        <w:rPr>
          <w:rFonts w:ascii="Times New Roman" w:hAnsi="Times New Roman"/>
          <w:sz w:val="20"/>
          <w:szCs w:val="20"/>
        </w:rPr>
      </w:pPr>
      <w:r w:rsidRPr="000A29D3">
        <w:rPr>
          <w:rFonts w:ascii="Times New Roman" w:hAnsi="Times New Roman"/>
          <w:sz w:val="20"/>
          <w:szCs w:val="20"/>
        </w:rPr>
        <w:tab/>
      </w:r>
      <w:r w:rsidRPr="000A29D3">
        <w:rPr>
          <w:rFonts w:ascii="Times New Roman" w:hAnsi="Times New Roman"/>
          <w:sz w:val="20"/>
          <w:szCs w:val="20"/>
        </w:rPr>
        <w:tab/>
      </w:r>
      <w:r w:rsidRPr="000A29D3">
        <w:rPr>
          <w:rFonts w:ascii="Times New Roman" w:hAnsi="Times New Roman"/>
          <w:sz w:val="20"/>
          <w:szCs w:val="20"/>
        </w:rPr>
        <w:tab/>
      </w:r>
      <w:r w:rsidRPr="000A29D3">
        <w:rPr>
          <w:rFonts w:ascii="Times New Roman" w:hAnsi="Times New Roman"/>
          <w:sz w:val="20"/>
          <w:szCs w:val="20"/>
        </w:rPr>
        <w:tab/>
      </w:r>
      <w:r w:rsidRPr="000A29D3">
        <w:rPr>
          <w:rFonts w:ascii="Times New Roman" w:hAnsi="Times New Roman"/>
          <w:sz w:val="20"/>
          <w:szCs w:val="20"/>
        </w:rPr>
        <w:tab/>
      </w:r>
      <w:r w:rsidRPr="000A29D3">
        <w:rPr>
          <w:rFonts w:ascii="Times New Roman" w:hAnsi="Times New Roman"/>
          <w:sz w:val="20"/>
          <w:szCs w:val="20"/>
        </w:rPr>
        <w:tab/>
      </w:r>
      <w:r w:rsidRPr="000A29D3">
        <w:rPr>
          <w:rFonts w:ascii="Times New Roman" w:hAnsi="Times New Roman"/>
          <w:sz w:val="20"/>
          <w:szCs w:val="20"/>
        </w:rPr>
        <w:tab/>
        <w:t>Dean Mead</w:t>
      </w:r>
      <w:r w:rsidRPr="000A29D3">
        <w:rPr>
          <w:rFonts w:ascii="Times New Roman" w:hAnsi="Times New Roman"/>
          <w:sz w:val="20"/>
          <w:szCs w:val="20"/>
        </w:rPr>
        <w:tab/>
        <w:t>294</w:t>
      </w:r>
    </w:p>
    <w:p w:rsidR="001654C6" w:rsidRDefault="001654C6" w:rsidP="001654C6">
      <w:pPr>
        <w:shd w:val="clear" w:color="auto" w:fill="D9D9D9"/>
        <w:tabs>
          <w:tab w:val="left" w:pos="360"/>
          <w:tab w:val="left" w:pos="3780"/>
          <w:tab w:val="left" w:pos="4950"/>
          <w:tab w:val="left" w:pos="6120"/>
          <w:tab w:val="left" w:pos="7200"/>
          <w:tab w:val="left" w:pos="7830"/>
          <w:tab w:val="left" w:pos="8460"/>
          <w:tab w:val="left" w:pos="10800"/>
        </w:tabs>
        <w:spacing w:after="0" w:line="240" w:lineRule="auto"/>
        <w:rPr>
          <w:rFonts w:ascii="Times New Roman" w:hAnsi="Times New Roman"/>
          <w:sz w:val="20"/>
          <w:szCs w:val="20"/>
        </w:rPr>
      </w:pPr>
      <w:r w:rsidRPr="000A29D3">
        <w:rPr>
          <w:rFonts w:ascii="Times New Roman" w:hAnsi="Times New Roman"/>
          <w:sz w:val="20"/>
          <w:szCs w:val="20"/>
        </w:rPr>
        <w:tab/>
      </w:r>
      <w:r w:rsidRPr="000A29D3">
        <w:rPr>
          <w:rFonts w:ascii="Times New Roman" w:hAnsi="Times New Roman"/>
          <w:sz w:val="20"/>
          <w:szCs w:val="20"/>
        </w:rPr>
        <w:tab/>
      </w:r>
      <w:r w:rsidRPr="000A29D3">
        <w:rPr>
          <w:rFonts w:ascii="Times New Roman" w:hAnsi="Times New Roman"/>
          <w:sz w:val="20"/>
          <w:szCs w:val="20"/>
        </w:rPr>
        <w:tab/>
      </w:r>
      <w:r w:rsidRPr="000A29D3">
        <w:rPr>
          <w:rFonts w:ascii="Times New Roman" w:hAnsi="Times New Roman"/>
          <w:sz w:val="20"/>
          <w:szCs w:val="20"/>
        </w:rPr>
        <w:tab/>
      </w:r>
      <w:r w:rsidRPr="000A29D3">
        <w:rPr>
          <w:rFonts w:ascii="Times New Roman" w:hAnsi="Times New Roman"/>
          <w:sz w:val="20"/>
          <w:szCs w:val="20"/>
        </w:rPr>
        <w:tab/>
      </w:r>
      <w:r w:rsidRPr="000A29D3">
        <w:rPr>
          <w:rFonts w:ascii="Times New Roman" w:hAnsi="Times New Roman"/>
          <w:sz w:val="20"/>
          <w:szCs w:val="20"/>
        </w:rPr>
        <w:tab/>
      </w:r>
      <w:r w:rsidRPr="000A29D3">
        <w:rPr>
          <w:rFonts w:ascii="Times New Roman" w:hAnsi="Times New Roman"/>
          <w:sz w:val="20"/>
          <w:szCs w:val="20"/>
        </w:rPr>
        <w:tab/>
        <w:t>Roberta Reese</w:t>
      </w:r>
      <w:r w:rsidRPr="000A29D3">
        <w:rPr>
          <w:rFonts w:ascii="Times New Roman" w:hAnsi="Times New Roman"/>
          <w:sz w:val="20"/>
          <w:szCs w:val="20"/>
        </w:rPr>
        <w:tab/>
        <w:t>324</w:t>
      </w:r>
    </w:p>
    <w:p w:rsidR="001654C6" w:rsidRDefault="001654C6" w:rsidP="001654C6">
      <w:pPr>
        <w:shd w:val="clear" w:color="auto" w:fill="D9D9D9"/>
        <w:tabs>
          <w:tab w:val="left" w:pos="360"/>
          <w:tab w:val="left" w:pos="3780"/>
          <w:tab w:val="left" w:pos="4950"/>
          <w:tab w:val="left" w:pos="6120"/>
          <w:tab w:val="left" w:pos="7200"/>
          <w:tab w:val="left" w:pos="7830"/>
          <w:tab w:val="left" w:pos="8460"/>
          <w:tab w:val="left" w:pos="1080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Scott Reeser</w:t>
      </w:r>
      <w:r>
        <w:rPr>
          <w:rFonts w:ascii="Times New Roman" w:hAnsi="Times New Roman"/>
          <w:sz w:val="20"/>
          <w:szCs w:val="20"/>
        </w:rPr>
        <w:tab/>
        <w:t>448</w:t>
      </w:r>
    </w:p>
    <w:p w:rsidR="001654C6" w:rsidRDefault="001654C6" w:rsidP="001654C6">
      <w:pPr>
        <w:shd w:val="clear" w:color="auto" w:fill="D9D9D9"/>
        <w:tabs>
          <w:tab w:val="left" w:pos="360"/>
          <w:tab w:val="left" w:pos="3780"/>
          <w:tab w:val="left" w:pos="4950"/>
          <w:tab w:val="left" w:pos="6120"/>
          <w:tab w:val="left" w:pos="7200"/>
          <w:tab w:val="left" w:pos="7830"/>
          <w:tab w:val="left" w:pos="8460"/>
          <w:tab w:val="left" w:pos="1080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Todd Webster</w:t>
      </w:r>
      <w:r>
        <w:rPr>
          <w:rFonts w:ascii="Times New Roman" w:hAnsi="Times New Roman"/>
          <w:sz w:val="20"/>
          <w:szCs w:val="20"/>
        </w:rPr>
        <w:tab/>
        <w:t>441</w:t>
      </w:r>
    </w:p>
    <w:p w:rsidR="001654C6" w:rsidRPr="000A29D3" w:rsidRDefault="001654C6" w:rsidP="001654C6">
      <w:pPr>
        <w:shd w:val="clear" w:color="auto" w:fill="D9D9D9"/>
        <w:tabs>
          <w:tab w:val="left" w:pos="360"/>
          <w:tab w:val="left" w:pos="3780"/>
          <w:tab w:val="left" w:pos="4950"/>
          <w:tab w:val="left" w:pos="6120"/>
          <w:tab w:val="left" w:pos="7200"/>
          <w:tab w:val="left" w:pos="7830"/>
          <w:tab w:val="left" w:pos="8460"/>
          <w:tab w:val="left" w:pos="1080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Shelby Dover</w:t>
      </w:r>
      <w:r>
        <w:rPr>
          <w:rFonts w:ascii="Times New Roman" w:hAnsi="Times New Roman"/>
          <w:sz w:val="20"/>
          <w:szCs w:val="20"/>
        </w:rPr>
        <w:tab/>
        <w:t>216</w:t>
      </w:r>
    </w:p>
    <w:p w:rsidR="001654C6" w:rsidRDefault="001654C6" w:rsidP="001654C6">
      <w:pPr>
        <w:tabs>
          <w:tab w:val="left" w:pos="360"/>
          <w:tab w:val="left" w:pos="3780"/>
          <w:tab w:val="left" w:pos="4950"/>
          <w:tab w:val="left" w:pos="6120"/>
          <w:tab w:val="left" w:pos="7110"/>
          <w:tab w:val="left" w:pos="7830"/>
          <w:tab w:val="left" w:pos="8460"/>
          <w:tab w:val="left" w:pos="10800"/>
        </w:tabs>
        <w:spacing w:before="120" w:after="0" w:line="240" w:lineRule="auto"/>
        <w:rPr>
          <w:rFonts w:ascii="Times New Roman" w:hAnsi="Times New Roman"/>
          <w:sz w:val="20"/>
        </w:rPr>
      </w:pPr>
      <w:r>
        <w:rPr>
          <w:rFonts w:ascii="Times New Roman" w:hAnsi="Times New Roman"/>
          <w:sz w:val="20"/>
        </w:rPr>
        <w:t>Deferred Inflows of Resources and</w:t>
      </w:r>
      <w:r>
        <w:rPr>
          <w:rFonts w:ascii="Times New Roman" w:hAnsi="Times New Roman"/>
          <w:sz w:val="20"/>
        </w:rPr>
        <w:tab/>
        <w:t>—</w:t>
      </w:r>
      <w:r>
        <w:rPr>
          <w:rFonts w:ascii="Times New Roman" w:hAnsi="Times New Roman"/>
          <w:sz w:val="20"/>
        </w:rPr>
        <w:tab/>
        <w:t>—</w:t>
      </w:r>
      <w:r>
        <w:rPr>
          <w:rFonts w:ascii="Times New Roman" w:hAnsi="Times New Roman"/>
          <w:sz w:val="20"/>
        </w:rPr>
        <w:tab/>
        <w:t>—</w:t>
      </w:r>
      <w:r>
        <w:rPr>
          <w:rFonts w:ascii="Times New Roman" w:hAnsi="Times New Roman"/>
          <w:sz w:val="20"/>
        </w:rPr>
        <w:tab/>
        <w:t>3Q11</w:t>
      </w:r>
      <w:r>
        <w:rPr>
          <w:rFonts w:ascii="Times New Roman" w:hAnsi="Times New Roman"/>
          <w:sz w:val="20"/>
        </w:rPr>
        <w:tab/>
        <w:t>1Q12</w:t>
      </w:r>
      <w:r>
        <w:rPr>
          <w:rFonts w:ascii="Times New Roman" w:hAnsi="Times New Roman"/>
          <w:sz w:val="20"/>
        </w:rPr>
        <w:tab/>
        <w:t>Todd Webster</w:t>
      </w:r>
      <w:r>
        <w:rPr>
          <w:rFonts w:ascii="Times New Roman" w:hAnsi="Times New Roman"/>
          <w:sz w:val="20"/>
        </w:rPr>
        <w:tab/>
        <w:t>441</w:t>
      </w:r>
    </w:p>
    <w:p w:rsidR="001654C6" w:rsidRDefault="001654C6" w:rsidP="001654C6">
      <w:pPr>
        <w:tabs>
          <w:tab w:val="left" w:pos="360"/>
          <w:tab w:val="left" w:pos="3780"/>
          <w:tab w:val="left" w:pos="4950"/>
          <w:tab w:val="left" w:pos="6120"/>
          <w:tab w:val="left" w:pos="7110"/>
          <w:tab w:val="left" w:pos="7830"/>
          <w:tab w:val="left" w:pos="8460"/>
          <w:tab w:val="left" w:pos="10800"/>
        </w:tabs>
        <w:spacing w:after="0" w:line="240" w:lineRule="auto"/>
        <w:rPr>
          <w:rFonts w:ascii="Times New Roman" w:hAnsi="Times New Roman"/>
          <w:sz w:val="20"/>
        </w:rPr>
      </w:pPr>
      <w:r>
        <w:rPr>
          <w:rFonts w:ascii="Times New Roman" w:hAnsi="Times New Roman"/>
          <w:sz w:val="20"/>
        </w:rPr>
        <w:t xml:space="preserve">  Deferred Outflows of Resources</w:t>
      </w:r>
      <w:r w:rsidR="0086512A">
        <w:rPr>
          <w:rFonts w:ascii="Times New Roman" w:hAnsi="Times New Roman" w:cs="Times New Roman"/>
          <w:sz w:val="20"/>
        </w:rPr>
        <w:t>—</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Scott Reeser</w:t>
      </w:r>
      <w:r>
        <w:rPr>
          <w:rFonts w:ascii="Times New Roman" w:hAnsi="Times New Roman"/>
          <w:sz w:val="20"/>
        </w:rPr>
        <w:tab/>
        <w:t>448</w:t>
      </w:r>
    </w:p>
    <w:p w:rsidR="001654C6" w:rsidRDefault="001654C6" w:rsidP="001654C6">
      <w:pPr>
        <w:tabs>
          <w:tab w:val="left" w:pos="360"/>
          <w:tab w:val="left" w:pos="3780"/>
          <w:tab w:val="left" w:pos="4950"/>
          <w:tab w:val="left" w:pos="6120"/>
          <w:tab w:val="left" w:pos="7110"/>
          <w:tab w:val="left" w:pos="7830"/>
          <w:tab w:val="left" w:pos="8460"/>
          <w:tab w:val="left" w:pos="10800"/>
        </w:tabs>
        <w:spacing w:after="0" w:line="240" w:lineRule="auto"/>
        <w:rPr>
          <w:rFonts w:ascii="Times New Roman" w:hAnsi="Times New Roman"/>
          <w:sz w:val="20"/>
        </w:rPr>
      </w:pPr>
      <w:r>
        <w:rPr>
          <w:rFonts w:ascii="Times New Roman" w:hAnsi="Times New Roman"/>
          <w:sz w:val="20"/>
        </w:rPr>
        <w:t xml:space="preserve">  Omnibus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Matthew Pelton</w:t>
      </w:r>
      <w:r>
        <w:rPr>
          <w:rFonts w:ascii="Times New Roman" w:hAnsi="Times New Roman"/>
          <w:sz w:val="20"/>
        </w:rPr>
        <w:tab/>
        <w:t>228</w:t>
      </w:r>
    </w:p>
    <w:p w:rsidR="001654C6" w:rsidRDefault="001654C6" w:rsidP="001654C6">
      <w:pPr>
        <w:tabs>
          <w:tab w:val="left" w:pos="360"/>
          <w:tab w:val="left" w:pos="3780"/>
          <w:tab w:val="left" w:pos="4950"/>
          <w:tab w:val="left" w:pos="6120"/>
          <w:tab w:val="left" w:pos="7110"/>
          <w:tab w:val="left" w:pos="7830"/>
          <w:tab w:val="left" w:pos="8460"/>
          <w:tab w:val="left" w:pos="10800"/>
        </w:tabs>
        <w:spacing w:after="0" w:line="240" w:lineRule="auto"/>
        <w:rPr>
          <w:rFonts w:ascii="Times New Roman" w:hAnsi="Times New Roman"/>
          <w:sz w:val="20"/>
        </w:rPr>
      </w:pPr>
    </w:p>
    <w:p w:rsidR="001654C6" w:rsidRPr="00AF4D2E" w:rsidRDefault="001654C6" w:rsidP="0086512A">
      <w:pPr>
        <w:shd w:val="clear" w:color="auto" w:fill="D9D9D9"/>
        <w:tabs>
          <w:tab w:val="left" w:pos="360"/>
          <w:tab w:val="left" w:pos="3780"/>
          <w:tab w:val="left" w:pos="4950"/>
          <w:tab w:val="left" w:pos="6120"/>
          <w:tab w:val="left" w:pos="7200"/>
          <w:tab w:val="left" w:pos="7830"/>
          <w:tab w:val="left" w:pos="8460"/>
          <w:tab w:val="left" w:pos="10800"/>
        </w:tabs>
        <w:spacing w:after="0" w:line="240" w:lineRule="auto"/>
        <w:rPr>
          <w:rFonts w:ascii="Times New Roman" w:hAnsi="Times New Roman"/>
          <w:sz w:val="20"/>
          <w:szCs w:val="20"/>
        </w:rPr>
      </w:pPr>
      <w:r>
        <w:rPr>
          <w:rFonts w:ascii="Times New Roman" w:hAnsi="Times New Roman"/>
          <w:sz w:val="20"/>
          <w:szCs w:val="20"/>
        </w:rPr>
        <w:t>Derivatives: Application of Termination</w:t>
      </w:r>
      <w:r w:rsidRPr="00AF4D2E">
        <w:rPr>
          <w:rFonts w:ascii="Times New Roman" w:hAnsi="Times New Roman"/>
          <w:sz w:val="20"/>
          <w:szCs w:val="20"/>
        </w:rPr>
        <w:tab/>
        <w:t>—</w:t>
      </w:r>
      <w:r w:rsidRPr="00AF4D2E">
        <w:rPr>
          <w:rFonts w:ascii="Times New Roman" w:hAnsi="Times New Roman"/>
          <w:sz w:val="20"/>
          <w:szCs w:val="20"/>
        </w:rPr>
        <w:tab/>
      </w:r>
      <w:r w:rsidR="0025763F">
        <w:rPr>
          <w:rFonts w:ascii="Times New Roman" w:hAnsi="Times New Roman"/>
          <w:sz w:val="20"/>
          <w:szCs w:val="20"/>
        </w:rPr>
        <w:t>1Q11</w:t>
      </w:r>
      <w:r w:rsidRPr="00AF4D2E">
        <w:rPr>
          <w:rFonts w:ascii="Times New Roman" w:hAnsi="Times New Roman"/>
          <w:sz w:val="20"/>
          <w:szCs w:val="20"/>
        </w:rPr>
        <w:tab/>
        <w:t>—</w:t>
      </w:r>
      <w:r w:rsidRPr="00AF4D2E">
        <w:rPr>
          <w:rFonts w:ascii="Times New Roman" w:hAnsi="Times New Roman"/>
          <w:sz w:val="20"/>
          <w:szCs w:val="20"/>
        </w:rPr>
        <w:tab/>
      </w:r>
      <w:r w:rsidR="0086512A">
        <w:rPr>
          <w:rFonts w:ascii="Times New Roman" w:hAnsi="Times New Roman" w:cs="Times New Roman"/>
          <w:sz w:val="20"/>
          <w:szCs w:val="20"/>
        </w:rPr>
        <w:t>—</w:t>
      </w:r>
      <w:r w:rsidRPr="00AF4D2E">
        <w:rPr>
          <w:rFonts w:ascii="Times New Roman" w:hAnsi="Times New Roman"/>
          <w:sz w:val="20"/>
          <w:szCs w:val="20"/>
        </w:rPr>
        <w:tab/>
      </w:r>
      <w:r>
        <w:rPr>
          <w:rFonts w:ascii="Times New Roman" w:hAnsi="Times New Roman"/>
          <w:sz w:val="20"/>
          <w:szCs w:val="20"/>
        </w:rPr>
        <w:t>2</w:t>
      </w:r>
      <w:r w:rsidRPr="00AF4D2E">
        <w:rPr>
          <w:rFonts w:ascii="Times New Roman" w:hAnsi="Times New Roman"/>
          <w:sz w:val="20"/>
          <w:szCs w:val="20"/>
        </w:rPr>
        <w:t>Q</w:t>
      </w:r>
      <w:r>
        <w:rPr>
          <w:rFonts w:ascii="Times New Roman" w:hAnsi="Times New Roman"/>
          <w:sz w:val="20"/>
          <w:szCs w:val="20"/>
        </w:rPr>
        <w:t>11</w:t>
      </w:r>
      <w:r w:rsidRPr="00AF4D2E">
        <w:rPr>
          <w:rFonts w:ascii="Times New Roman" w:hAnsi="Times New Roman"/>
          <w:sz w:val="20"/>
          <w:szCs w:val="20"/>
        </w:rPr>
        <w:tab/>
        <w:t>Randy Finden</w:t>
      </w:r>
      <w:r w:rsidRPr="00AF4D2E">
        <w:rPr>
          <w:rFonts w:ascii="Times New Roman" w:hAnsi="Times New Roman"/>
          <w:sz w:val="20"/>
          <w:szCs w:val="20"/>
        </w:rPr>
        <w:tab/>
        <w:t>240</w:t>
      </w:r>
    </w:p>
    <w:p w:rsidR="001654C6" w:rsidRDefault="001654C6" w:rsidP="0086512A">
      <w:pPr>
        <w:shd w:val="clear" w:color="auto" w:fill="D9D9D9"/>
        <w:tabs>
          <w:tab w:val="left" w:pos="360"/>
          <w:tab w:val="left" w:pos="3780"/>
          <w:tab w:val="left" w:pos="4950"/>
          <w:tab w:val="left" w:pos="6120"/>
          <w:tab w:val="left" w:pos="7290"/>
          <w:tab w:val="left" w:pos="7830"/>
          <w:tab w:val="left" w:pos="8460"/>
          <w:tab w:val="left" w:pos="10800"/>
        </w:tabs>
        <w:spacing w:after="0" w:line="240" w:lineRule="auto"/>
        <w:rPr>
          <w:rFonts w:ascii="Times New Roman" w:hAnsi="Times New Roman"/>
          <w:sz w:val="20"/>
          <w:szCs w:val="20"/>
        </w:rPr>
      </w:pPr>
      <w:r>
        <w:rPr>
          <w:rFonts w:ascii="Times New Roman" w:hAnsi="Times New Roman"/>
          <w:sz w:val="20"/>
          <w:szCs w:val="20"/>
        </w:rPr>
        <w:t xml:space="preserve">  Provisions </w:t>
      </w:r>
      <w:r w:rsidRPr="00AF4D2E">
        <w:rPr>
          <w:rFonts w:ascii="Times New Roman" w:hAnsi="Times New Roman"/>
          <w:sz w:val="20"/>
          <w:szCs w:val="20"/>
        </w:rPr>
        <w:tab/>
      </w:r>
      <w:r w:rsidRPr="00AF4D2E">
        <w:rPr>
          <w:rFonts w:ascii="Times New Roman" w:hAnsi="Times New Roman"/>
          <w:sz w:val="20"/>
          <w:szCs w:val="20"/>
        </w:rPr>
        <w:tab/>
      </w:r>
      <w:r w:rsidRPr="00AF4D2E">
        <w:rPr>
          <w:rFonts w:ascii="Times New Roman" w:hAnsi="Times New Roman"/>
          <w:sz w:val="20"/>
          <w:szCs w:val="20"/>
        </w:rPr>
        <w:tab/>
      </w:r>
      <w:r w:rsidRPr="00AF4D2E">
        <w:rPr>
          <w:rFonts w:ascii="Times New Roman" w:hAnsi="Times New Roman"/>
          <w:sz w:val="20"/>
          <w:szCs w:val="20"/>
        </w:rPr>
        <w:tab/>
      </w:r>
      <w:r w:rsidRPr="00AF4D2E">
        <w:rPr>
          <w:rFonts w:ascii="Times New Roman" w:hAnsi="Times New Roman"/>
          <w:sz w:val="20"/>
          <w:szCs w:val="20"/>
        </w:rPr>
        <w:tab/>
      </w:r>
      <w:r w:rsidRPr="00AF4D2E">
        <w:rPr>
          <w:rFonts w:ascii="Times New Roman" w:hAnsi="Times New Roman"/>
          <w:sz w:val="20"/>
          <w:szCs w:val="20"/>
        </w:rPr>
        <w:tab/>
      </w:r>
      <w:r>
        <w:rPr>
          <w:rFonts w:ascii="Times New Roman" w:hAnsi="Times New Roman"/>
          <w:sz w:val="20"/>
          <w:szCs w:val="20"/>
        </w:rPr>
        <w:t>Scott Reeser</w:t>
      </w:r>
      <w:r>
        <w:rPr>
          <w:rFonts w:ascii="Times New Roman" w:hAnsi="Times New Roman"/>
          <w:sz w:val="20"/>
          <w:szCs w:val="20"/>
        </w:rPr>
        <w:tab/>
        <w:t>448</w:t>
      </w:r>
    </w:p>
    <w:p w:rsidR="001654C6" w:rsidRPr="00AF4D2E" w:rsidRDefault="001654C6" w:rsidP="001654C6">
      <w:pPr>
        <w:shd w:val="clear" w:color="auto" w:fill="D9D9D9"/>
        <w:tabs>
          <w:tab w:val="left" w:pos="360"/>
          <w:tab w:val="left" w:pos="3780"/>
          <w:tab w:val="left" w:pos="4950"/>
          <w:tab w:val="left" w:pos="6120"/>
          <w:tab w:val="left" w:pos="7290"/>
          <w:tab w:val="left" w:pos="7830"/>
          <w:tab w:val="left" w:pos="8460"/>
          <w:tab w:val="left" w:pos="1080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Kathryn Price</w:t>
      </w:r>
      <w:r>
        <w:rPr>
          <w:rFonts w:ascii="Times New Roman" w:hAnsi="Times New Roman"/>
          <w:sz w:val="20"/>
          <w:szCs w:val="20"/>
        </w:rPr>
        <w:tab/>
        <w:t>303</w:t>
      </w:r>
    </w:p>
    <w:p w:rsidR="001654C6" w:rsidRPr="00017E90" w:rsidRDefault="001654C6" w:rsidP="0086512A">
      <w:pPr>
        <w:tabs>
          <w:tab w:val="left" w:pos="360"/>
          <w:tab w:val="left" w:pos="3780"/>
          <w:tab w:val="left" w:pos="4950"/>
          <w:tab w:val="left" w:pos="6120"/>
          <w:tab w:val="left" w:pos="7200"/>
          <w:tab w:val="left" w:pos="7830"/>
          <w:tab w:val="left" w:pos="8460"/>
          <w:tab w:val="left" w:pos="10800"/>
        </w:tabs>
        <w:spacing w:before="120" w:after="0" w:line="240" w:lineRule="auto"/>
        <w:rPr>
          <w:rFonts w:ascii="Times New Roman" w:hAnsi="Times New Roman"/>
          <w:sz w:val="20"/>
        </w:rPr>
      </w:pPr>
      <w:r>
        <w:rPr>
          <w:rFonts w:ascii="Times New Roman" w:hAnsi="Times New Roman"/>
          <w:sz w:val="20"/>
        </w:rPr>
        <w:t>Statement of Net Position</w:t>
      </w:r>
      <w:r w:rsidRPr="00017E90">
        <w:rPr>
          <w:rFonts w:ascii="Times New Roman" w:hAnsi="Times New Roman"/>
          <w:sz w:val="20"/>
        </w:rPr>
        <w:t xml:space="preserve"> </w:t>
      </w:r>
      <w:r w:rsidRPr="00017E90">
        <w:rPr>
          <w:rFonts w:ascii="Times New Roman" w:hAnsi="Times New Roman"/>
          <w:sz w:val="20"/>
        </w:rPr>
        <w:tab/>
        <w:t>—</w:t>
      </w:r>
      <w:r w:rsidRPr="00017E90">
        <w:rPr>
          <w:rFonts w:ascii="Times New Roman" w:hAnsi="Times New Roman"/>
          <w:sz w:val="20"/>
        </w:rPr>
        <w:tab/>
      </w:r>
      <w:r>
        <w:rPr>
          <w:rFonts w:ascii="Times New Roman" w:hAnsi="Times New Roman"/>
          <w:sz w:val="20"/>
        </w:rPr>
        <w:t>4Q10</w:t>
      </w:r>
      <w:r w:rsidRPr="00017E90">
        <w:rPr>
          <w:rFonts w:ascii="Times New Roman" w:hAnsi="Times New Roman"/>
          <w:sz w:val="20"/>
        </w:rPr>
        <w:tab/>
        <w:t>—</w:t>
      </w:r>
      <w:r w:rsidRPr="00017E90">
        <w:rPr>
          <w:rFonts w:ascii="Times New Roman" w:hAnsi="Times New Roman"/>
          <w:sz w:val="20"/>
        </w:rPr>
        <w:tab/>
      </w:r>
      <w:r>
        <w:rPr>
          <w:rFonts w:ascii="Times New Roman" w:hAnsi="Times New Roman"/>
          <w:sz w:val="20"/>
        </w:rPr>
        <w:t>—</w:t>
      </w:r>
      <w:r w:rsidRPr="00017E90">
        <w:rPr>
          <w:rFonts w:ascii="Times New Roman" w:hAnsi="Times New Roman"/>
          <w:sz w:val="20"/>
        </w:rPr>
        <w:tab/>
      </w:r>
      <w:r>
        <w:rPr>
          <w:rFonts w:ascii="Times New Roman" w:hAnsi="Times New Roman"/>
          <w:sz w:val="20"/>
        </w:rPr>
        <w:t>2</w:t>
      </w:r>
      <w:r w:rsidRPr="00017E90">
        <w:rPr>
          <w:rFonts w:ascii="Times New Roman" w:hAnsi="Times New Roman"/>
          <w:sz w:val="20"/>
        </w:rPr>
        <w:t>Q1</w:t>
      </w:r>
      <w:r>
        <w:rPr>
          <w:rFonts w:ascii="Times New Roman" w:hAnsi="Times New Roman"/>
          <w:sz w:val="20"/>
        </w:rPr>
        <w:t>1</w:t>
      </w:r>
      <w:r w:rsidRPr="00017E90">
        <w:rPr>
          <w:rFonts w:ascii="Times New Roman" w:hAnsi="Times New Roman"/>
          <w:sz w:val="20"/>
        </w:rPr>
        <w:tab/>
        <w:t>Ken Schermann</w:t>
      </w:r>
      <w:r w:rsidRPr="00017E90">
        <w:rPr>
          <w:rFonts w:ascii="Times New Roman" w:hAnsi="Times New Roman"/>
          <w:sz w:val="20"/>
        </w:rPr>
        <w:tab/>
        <w:t>206</w:t>
      </w:r>
    </w:p>
    <w:p w:rsidR="001654C6" w:rsidRPr="00017E90" w:rsidRDefault="001654C6" w:rsidP="001654C6">
      <w:pPr>
        <w:tabs>
          <w:tab w:val="left" w:pos="360"/>
          <w:tab w:val="left" w:pos="3780"/>
          <w:tab w:val="left" w:pos="5040"/>
          <w:tab w:val="left" w:pos="6120"/>
          <w:tab w:val="left" w:pos="7110"/>
          <w:tab w:val="left" w:pos="7830"/>
          <w:tab w:val="left" w:pos="8460"/>
          <w:tab w:val="left" w:pos="10800"/>
        </w:tabs>
        <w:spacing w:after="0" w:line="240" w:lineRule="auto"/>
        <w:rPr>
          <w:rFonts w:ascii="Times New Roman" w:hAnsi="Times New Roman"/>
          <w:sz w:val="20"/>
        </w:rPr>
      </w:pPr>
      <w:r w:rsidRPr="00017E90">
        <w:rPr>
          <w:rFonts w:ascii="Times New Roman" w:hAnsi="Times New Roman"/>
          <w:sz w:val="20"/>
        </w:rPr>
        <w:tab/>
      </w:r>
      <w:r w:rsidRPr="00017E90">
        <w:rPr>
          <w:rFonts w:ascii="Times New Roman" w:hAnsi="Times New Roman"/>
          <w:sz w:val="20"/>
        </w:rPr>
        <w:tab/>
      </w:r>
      <w:r w:rsidRPr="00017E90">
        <w:rPr>
          <w:rFonts w:ascii="Times New Roman" w:hAnsi="Times New Roman"/>
          <w:sz w:val="20"/>
        </w:rPr>
        <w:tab/>
      </w:r>
      <w:r w:rsidRPr="00017E90">
        <w:rPr>
          <w:rFonts w:ascii="Times New Roman" w:hAnsi="Times New Roman"/>
          <w:sz w:val="20"/>
        </w:rPr>
        <w:tab/>
      </w:r>
      <w:r w:rsidRPr="00017E90">
        <w:rPr>
          <w:rFonts w:ascii="Times New Roman" w:hAnsi="Times New Roman"/>
          <w:sz w:val="20"/>
        </w:rPr>
        <w:tab/>
      </w:r>
      <w:r w:rsidRPr="00017E90">
        <w:rPr>
          <w:rFonts w:ascii="Times New Roman" w:hAnsi="Times New Roman"/>
          <w:sz w:val="20"/>
        </w:rPr>
        <w:tab/>
      </w:r>
      <w:r>
        <w:rPr>
          <w:rFonts w:ascii="Times New Roman" w:hAnsi="Times New Roman"/>
          <w:sz w:val="20"/>
        </w:rPr>
        <w:tab/>
      </w:r>
      <w:r w:rsidRPr="003F4B96">
        <w:rPr>
          <w:rFonts w:ascii="Times New Roman" w:hAnsi="Times New Roman"/>
          <w:sz w:val="20"/>
        </w:rPr>
        <w:t>Shelby Dover</w:t>
      </w:r>
      <w:r w:rsidRPr="003F4B96">
        <w:rPr>
          <w:rFonts w:ascii="Times New Roman" w:hAnsi="Times New Roman"/>
          <w:sz w:val="20"/>
        </w:rPr>
        <w:tab/>
        <w:t>216</w:t>
      </w:r>
    </w:p>
    <w:p w:rsidR="001654C6" w:rsidRPr="00017E90" w:rsidRDefault="001654C6" w:rsidP="001654C6">
      <w:pPr>
        <w:tabs>
          <w:tab w:val="left" w:pos="360"/>
          <w:tab w:val="left" w:pos="3780"/>
          <w:tab w:val="left" w:pos="5040"/>
          <w:tab w:val="left" w:pos="6120"/>
          <w:tab w:val="left" w:pos="7110"/>
          <w:tab w:val="left" w:pos="7830"/>
          <w:tab w:val="left" w:pos="8460"/>
          <w:tab w:val="left" w:pos="10800"/>
        </w:tabs>
        <w:spacing w:before="120" w:after="0" w:line="240" w:lineRule="auto"/>
        <w:rPr>
          <w:rFonts w:ascii="Times New Roman" w:hAnsi="Times New Roman"/>
          <w:sz w:val="20"/>
        </w:rPr>
      </w:pPr>
    </w:p>
    <w:p w:rsidR="001654C6" w:rsidRDefault="001654C6" w:rsidP="001654C6">
      <w:pPr>
        <w:shd w:val="clear" w:color="auto" w:fill="D9D9D9"/>
        <w:tabs>
          <w:tab w:val="left" w:pos="360"/>
          <w:tab w:val="left" w:pos="3780"/>
          <w:tab w:val="left" w:pos="4950"/>
          <w:tab w:val="left" w:pos="6120"/>
          <w:tab w:val="left" w:pos="7200"/>
          <w:tab w:val="left" w:pos="7830"/>
          <w:tab w:val="left" w:pos="8460"/>
          <w:tab w:val="left" w:pos="10800"/>
        </w:tabs>
        <w:spacing w:after="0" w:line="240" w:lineRule="auto"/>
        <w:rPr>
          <w:rFonts w:ascii="Times New Roman" w:hAnsi="Times New Roman"/>
          <w:sz w:val="20"/>
          <w:szCs w:val="20"/>
        </w:rPr>
      </w:pPr>
      <w:r>
        <w:rPr>
          <w:rFonts w:ascii="Times New Roman" w:hAnsi="Times New Roman"/>
          <w:sz w:val="20"/>
          <w:szCs w:val="20"/>
        </w:rPr>
        <w:t>User Guide Series</w:t>
      </w:r>
      <w:r w:rsidRPr="00AF4D2E">
        <w:rPr>
          <w:rFonts w:ascii="Times New Roman" w:hAnsi="Times New Roman"/>
          <w:sz w:val="20"/>
          <w:szCs w:val="20"/>
        </w:rPr>
        <w:tab/>
        <w:t>—</w:t>
      </w:r>
      <w:r w:rsidRPr="00AF4D2E">
        <w:rPr>
          <w:rFonts w:ascii="Times New Roman" w:hAnsi="Times New Roman"/>
          <w:sz w:val="20"/>
          <w:szCs w:val="20"/>
        </w:rPr>
        <w:tab/>
      </w:r>
      <w:r>
        <w:rPr>
          <w:rFonts w:ascii="Times New Roman" w:hAnsi="Times New Roman"/>
          <w:sz w:val="20"/>
          <w:szCs w:val="20"/>
        </w:rPr>
        <w:t>—</w:t>
      </w:r>
      <w:r w:rsidRPr="00AF4D2E">
        <w:rPr>
          <w:rFonts w:ascii="Times New Roman" w:hAnsi="Times New Roman"/>
          <w:sz w:val="20"/>
          <w:szCs w:val="20"/>
        </w:rPr>
        <w:tab/>
        <w:t>—</w:t>
      </w:r>
      <w:r w:rsidRPr="00AF4D2E">
        <w:rPr>
          <w:rFonts w:ascii="Times New Roman" w:hAnsi="Times New Roman"/>
          <w:sz w:val="20"/>
          <w:szCs w:val="20"/>
        </w:rPr>
        <w:tab/>
      </w:r>
      <w:r w:rsidR="0025763F">
        <w:rPr>
          <w:rFonts w:ascii="Times New Roman" w:hAnsi="Times New Roman"/>
          <w:sz w:val="20"/>
          <w:szCs w:val="20"/>
        </w:rPr>
        <w:t>—</w:t>
      </w:r>
      <w:r w:rsidR="0025763F">
        <w:rPr>
          <w:rFonts w:ascii="Times New Roman" w:hAnsi="Times New Roman"/>
          <w:sz w:val="20"/>
          <w:szCs w:val="20"/>
        </w:rPr>
        <w:tab/>
        <w:t>3</w:t>
      </w:r>
      <w:r w:rsidRPr="00AF4D2E">
        <w:rPr>
          <w:rFonts w:ascii="Times New Roman" w:hAnsi="Times New Roman"/>
          <w:sz w:val="20"/>
          <w:szCs w:val="20"/>
        </w:rPr>
        <w:t>Q</w:t>
      </w:r>
      <w:r>
        <w:rPr>
          <w:rFonts w:ascii="Times New Roman" w:hAnsi="Times New Roman"/>
          <w:sz w:val="20"/>
          <w:szCs w:val="20"/>
        </w:rPr>
        <w:t>11</w:t>
      </w:r>
      <w:r w:rsidRPr="00AF4D2E">
        <w:rPr>
          <w:rFonts w:ascii="Times New Roman" w:hAnsi="Times New Roman"/>
          <w:sz w:val="20"/>
          <w:szCs w:val="20"/>
        </w:rPr>
        <w:tab/>
      </w:r>
      <w:r>
        <w:rPr>
          <w:rFonts w:ascii="Times New Roman" w:hAnsi="Times New Roman"/>
          <w:sz w:val="20"/>
          <w:szCs w:val="20"/>
        </w:rPr>
        <w:t>Dean Mead</w:t>
      </w:r>
      <w:r>
        <w:rPr>
          <w:rFonts w:ascii="Times New Roman" w:hAnsi="Times New Roman"/>
          <w:sz w:val="20"/>
          <w:szCs w:val="20"/>
        </w:rPr>
        <w:tab/>
        <w:t>294</w:t>
      </w:r>
    </w:p>
    <w:p w:rsidR="001654C6" w:rsidRDefault="001654C6" w:rsidP="001654C6">
      <w:pPr>
        <w:shd w:val="clear" w:color="auto" w:fill="D9D9D9"/>
        <w:tabs>
          <w:tab w:val="left" w:pos="360"/>
          <w:tab w:val="left" w:pos="3780"/>
          <w:tab w:val="left" w:pos="4950"/>
          <w:tab w:val="left" w:pos="6120"/>
          <w:tab w:val="left" w:pos="7200"/>
          <w:tab w:val="left" w:pos="7830"/>
          <w:tab w:val="left" w:pos="8460"/>
          <w:tab w:val="left" w:pos="10800"/>
        </w:tabs>
        <w:spacing w:after="0" w:line="240" w:lineRule="auto"/>
        <w:rPr>
          <w:rFonts w:ascii="Times New Roman" w:hAnsi="Times New Roman"/>
          <w:sz w:val="20"/>
          <w:szCs w:val="20"/>
        </w:rPr>
      </w:pPr>
      <w:r>
        <w:rPr>
          <w:rFonts w:ascii="Times New Roman" w:hAnsi="Times New Roman"/>
          <w:sz w:val="20"/>
          <w:szCs w:val="20"/>
        </w:rPr>
        <w:tab/>
      </w:r>
      <w:r w:rsidRPr="00AF4D2E">
        <w:rPr>
          <w:rFonts w:ascii="Times New Roman" w:hAnsi="Times New Roman"/>
          <w:sz w:val="20"/>
          <w:szCs w:val="20"/>
        </w:rPr>
        <w:tab/>
      </w:r>
      <w:r w:rsidRPr="00AF4D2E">
        <w:rPr>
          <w:rFonts w:ascii="Times New Roman" w:hAnsi="Times New Roman"/>
          <w:sz w:val="20"/>
          <w:szCs w:val="20"/>
        </w:rPr>
        <w:tab/>
      </w:r>
      <w:r w:rsidRPr="00AF4D2E">
        <w:rPr>
          <w:rFonts w:ascii="Times New Roman" w:hAnsi="Times New Roman"/>
          <w:sz w:val="20"/>
          <w:szCs w:val="20"/>
        </w:rPr>
        <w:tab/>
      </w:r>
      <w:r w:rsidRPr="00AF4D2E">
        <w:rPr>
          <w:rFonts w:ascii="Times New Roman" w:hAnsi="Times New Roman"/>
          <w:sz w:val="20"/>
          <w:szCs w:val="20"/>
        </w:rPr>
        <w:tab/>
      </w:r>
      <w:r w:rsidRPr="00AF4D2E">
        <w:rPr>
          <w:rFonts w:ascii="Times New Roman" w:hAnsi="Times New Roman"/>
          <w:sz w:val="20"/>
          <w:szCs w:val="20"/>
        </w:rPr>
        <w:tab/>
      </w:r>
      <w:r w:rsidRPr="00AF4D2E">
        <w:rPr>
          <w:rFonts w:ascii="Times New Roman" w:hAnsi="Times New Roman"/>
          <w:sz w:val="20"/>
          <w:szCs w:val="20"/>
        </w:rPr>
        <w:tab/>
      </w:r>
      <w:r>
        <w:rPr>
          <w:rFonts w:ascii="Times New Roman" w:hAnsi="Times New Roman"/>
          <w:sz w:val="20"/>
          <w:szCs w:val="20"/>
        </w:rPr>
        <w:t>Kip Betz</w:t>
      </w:r>
      <w:r>
        <w:rPr>
          <w:rFonts w:ascii="Times New Roman" w:hAnsi="Times New Roman"/>
          <w:sz w:val="20"/>
          <w:szCs w:val="20"/>
        </w:rPr>
        <w:tab/>
        <w:t>201</w:t>
      </w:r>
    </w:p>
    <w:p w:rsidR="001654C6" w:rsidRDefault="001654C6" w:rsidP="001654C6">
      <w:pPr>
        <w:tabs>
          <w:tab w:val="left" w:pos="360"/>
          <w:tab w:val="left" w:pos="3780"/>
          <w:tab w:val="left" w:pos="4500"/>
          <w:tab w:val="left" w:pos="6120"/>
          <w:tab w:val="left" w:pos="6840"/>
          <w:tab w:val="left" w:pos="7560"/>
          <w:tab w:val="left" w:pos="8460"/>
          <w:tab w:val="left" w:pos="10800"/>
        </w:tabs>
        <w:spacing w:after="0" w:line="240" w:lineRule="auto"/>
        <w:rPr>
          <w:rFonts w:ascii="Times New Roman" w:hAnsi="Times New Roman"/>
          <w:sz w:val="20"/>
        </w:rPr>
      </w:pPr>
    </w:p>
    <w:p w:rsidR="001654C6" w:rsidRDefault="001654C6" w:rsidP="001654C6">
      <w:pPr>
        <w:tabs>
          <w:tab w:val="left" w:pos="360"/>
          <w:tab w:val="left" w:pos="3780"/>
          <w:tab w:val="left" w:pos="4500"/>
          <w:tab w:val="left" w:pos="6120"/>
          <w:tab w:val="left" w:pos="6840"/>
          <w:tab w:val="left" w:pos="7560"/>
          <w:tab w:val="left" w:pos="8460"/>
          <w:tab w:val="left" w:pos="10800"/>
        </w:tabs>
        <w:spacing w:after="0" w:line="240" w:lineRule="auto"/>
        <w:rPr>
          <w:rFonts w:ascii="Times New Roman" w:hAnsi="Times New Roman"/>
          <w:sz w:val="20"/>
        </w:rPr>
      </w:pPr>
    </w:p>
    <w:p w:rsidR="001654C6" w:rsidRPr="00C1468D" w:rsidRDefault="001654C6" w:rsidP="001654C6">
      <w:pPr>
        <w:tabs>
          <w:tab w:val="left" w:pos="360"/>
          <w:tab w:val="left" w:pos="3780"/>
          <w:tab w:val="left" w:pos="4500"/>
          <w:tab w:val="left" w:pos="6120"/>
          <w:tab w:val="left" w:pos="6840"/>
          <w:tab w:val="left" w:pos="7560"/>
          <w:tab w:val="left" w:pos="8460"/>
          <w:tab w:val="left" w:pos="10800"/>
        </w:tabs>
        <w:spacing w:after="0" w:line="240" w:lineRule="auto"/>
        <w:rPr>
          <w:rFonts w:ascii="Times New Roman" w:hAnsi="Times New Roman"/>
          <w:sz w:val="20"/>
        </w:rPr>
      </w:pPr>
    </w:p>
    <w:p w:rsidR="001654C6" w:rsidRPr="00C1468D" w:rsidRDefault="001654C6" w:rsidP="001654C6">
      <w:pPr>
        <w:tabs>
          <w:tab w:val="left" w:pos="2160"/>
        </w:tabs>
        <w:spacing w:after="0" w:line="240" w:lineRule="auto"/>
        <w:rPr>
          <w:rFonts w:ascii="Times New Roman" w:hAnsi="Times New Roman"/>
          <w:sz w:val="20"/>
          <w:szCs w:val="20"/>
          <w:u w:val="single"/>
        </w:rPr>
      </w:pPr>
    </w:p>
    <w:p w:rsidR="001654C6" w:rsidRPr="00C1468D" w:rsidRDefault="001654C6" w:rsidP="001654C6">
      <w:pPr>
        <w:tabs>
          <w:tab w:val="left" w:pos="2160"/>
        </w:tabs>
        <w:spacing w:after="0" w:line="240" w:lineRule="auto"/>
        <w:rPr>
          <w:rFonts w:ascii="Times New Roman" w:hAnsi="Times New Roman"/>
          <w:sz w:val="20"/>
          <w:szCs w:val="20"/>
          <w:u w:val="single"/>
        </w:rPr>
      </w:pPr>
      <w:r w:rsidRPr="00C1468D">
        <w:rPr>
          <w:rFonts w:ascii="Times New Roman" w:hAnsi="Times New Roman"/>
          <w:sz w:val="20"/>
          <w:szCs w:val="20"/>
          <w:u w:val="single"/>
        </w:rPr>
        <w:tab/>
      </w:r>
    </w:p>
    <w:p w:rsidR="001654C6" w:rsidRPr="00C1468D" w:rsidRDefault="001654C6" w:rsidP="001654C6">
      <w:pPr>
        <w:tabs>
          <w:tab w:val="left" w:pos="2160"/>
        </w:tabs>
        <w:spacing w:after="0" w:line="240" w:lineRule="auto"/>
        <w:rPr>
          <w:rFonts w:ascii="Times New Roman" w:hAnsi="Times New Roman"/>
          <w:i/>
          <w:sz w:val="20"/>
          <w:szCs w:val="20"/>
        </w:rPr>
      </w:pPr>
      <w:r w:rsidRPr="00C1468D">
        <w:rPr>
          <w:rFonts w:ascii="Times New Roman" w:hAnsi="Times New Roman"/>
          <w:i/>
          <w:sz w:val="20"/>
          <w:szCs w:val="20"/>
        </w:rPr>
        <w:t>*(203) 847-0700</w:t>
      </w:r>
    </w:p>
    <w:p w:rsidR="001654C6" w:rsidRPr="00C1468D" w:rsidRDefault="001654C6" w:rsidP="001654C6">
      <w:pPr>
        <w:spacing w:after="0" w:line="240" w:lineRule="auto"/>
        <w:rPr>
          <w:rFonts w:ascii="Times New Roman" w:hAnsi="Times New Roman"/>
          <w:i/>
          <w:sz w:val="20"/>
          <w:szCs w:val="20"/>
        </w:rPr>
      </w:pPr>
    </w:p>
    <w:p w:rsidR="001654C6" w:rsidRPr="00C1468D" w:rsidRDefault="001654C6" w:rsidP="001654C6">
      <w:pPr>
        <w:spacing w:after="0" w:line="240" w:lineRule="auto"/>
        <w:rPr>
          <w:rFonts w:ascii="Times New Roman" w:hAnsi="Times New Roman"/>
          <w:i/>
          <w:sz w:val="20"/>
          <w:szCs w:val="20"/>
        </w:rPr>
      </w:pPr>
    </w:p>
    <w:p w:rsidR="001654C6" w:rsidRDefault="001654C6" w:rsidP="001654C6">
      <w:pPr>
        <w:tabs>
          <w:tab w:val="left" w:pos="3960"/>
          <w:tab w:val="left" w:pos="6840"/>
          <w:tab w:val="left" w:pos="7560"/>
        </w:tabs>
        <w:spacing w:after="0" w:line="240" w:lineRule="auto"/>
        <w:rPr>
          <w:rFonts w:ascii="Times New Roman" w:hAnsi="Times New Roman"/>
          <w:i/>
          <w:iCs/>
          <w:sz w:val="20"/>
          <w:szCs w:val="20"/>
        </w:rPr>
      </w:pPr>
      <w:r>
        <w:rPr>
          <w:rFonts w:ascii="Times New Roman" w:hAnsi="Times New Roman"/>
          <w:i/>
          <w:iCs/>
          <w:sz w:val="20"/>
          <w:szCs w:val="20"/>
        </w:rPr>
        <w:t>E</w:t>
      </w:r>
      <w:r w:rsidRPr="00C1468D">
        <w:rPr>
          <w:rFonts w:ascii="Times New Roman" w:hAnsi="Times New Roman"/>
          <w:i/>
          <w:iCs/>
          <w:sz w:val="20"/>
          <w:szCs w:val="20"/>
        </w:rPr>
        <w:t>D: Exposure Draft</w:t>
      </w:r>
      <w:r w:rsidRPr="00C1468D">
        <w:rPr>
          <w:rFonts w:ascii="Times New Roman" w:hAnsi="Times New Roman"/>
          <w:i/>
          <w:iCs/>
          <w:sz w:val="20"/>
          <w:szCs w:val="20"/>
        </w:rPr>
        <w:tab/>
        <w:t>Final: Statement, unless otherwise noted</w:t>
      </w:r>
    </w:p>
    <w:p w:rsidR="001654C6" w:rsidRDefault="001654C6" w:rsidP="001654C6">
      <w:pPr>
        <w:tabs>
          <w:tab w:val="left" w:pos="3960"/>
          <w:tab w:val="left" w:pos="6840"/>
          <w:tab w:val="left" w:pos="7560"/>
        </w:tabs>
        <w:spacing w:after="0" w:line="240" w:lineRule="auto"/>
        <w:rPr>
          <w:rFonts w:ascii="Times New Roman" w:hAnsi="Times New Roman"/>
          <w:i/>
          <w:iCs/>
          <w:sz w:val="20"/>
          <w:szCs w:val="20"/>
        </w:rPr>
      </w:pPr>
      <w:r w:rsidRPr="00C1468D">
        <w:rPr>
          <w:rFonts w:ascii="Times New Roman" w:hAnsi="Times New Roman"/>
          <w:i/>
          <w:iCs/>
          <w:sz w:val="20"/>
          <w:szCs w:val="20"/>
        </w:rPr>
        <w:t>ITC: Invitation to Comment</w:t>
      </w:r>
      <w:r>
        <w:rPr>
          <w:rFonts w:ascii="Times New Roman" w:hAnsi="Times New Roman"/>
          <w:i/>
          <w:iCs/>
          <w:sz w:val="20"/>
          <w:szCs w:val="20"/>
        </w:rPr>
        <w:t xml:space="preserve"> </w:t>
      </w:r>
      <w:r>
        <w:rPr>
          <w:rFonts w:ascii="Times New Roman" w:hAnsi="Times New Roman"/>
          <w:i/>
          <w:iCs/>
          <w:sz w:val="20"/>
          <w:szCs w:val="20"/>
        </w:rPr>
        <w:tab/>
      </w:r>
      <w:r w:rsidRPr="00C1468D">
        <w:rPr>
          <w:rFonts w:ascii="Times New Roman" w:hAnsi="Times New Roman"/>
          <w:i/>
          <w:iCs/>
          <w:sz w:val="20"/>
          <w:szCs w:val="20"/>
        </w:rPr>
        <w:t xml:space="preserve">PV: Preliminary Views </w:t>
      </w:r>
    </w:p>
    <w:p w:rsidR="001654C6" w:rsidRPr="00C1468D" w:rsidRDefault="001654C6" w:rsidP="001654C6">
      <w:pPr>
        <w:tabs>
          <w:tab w:val="left" w:pos="5760"/>
          <w:tab w:val="left" w:pos="6480"/>
        </w:tabs>
        <w:spacing w:after="0" w:line="240" w:lineRule="auto"/>
        <w:rPr>
          <w:rFonts w:ascii="Times New Roman" w:hAnsi="Times New Roman"/>
        </w:rPr>
      </w:pPr>
    </w:p>
    <w:p w:rsidR="001654C6" w:rsidRDefault="001654C6" w:rsidP="001654C6">
      <w:pPr>
        <w:tabs>
          <w:tab w:val="left" w:pos="3600"/>
          <w:tab w:val="left" w:pos="6480"/>
        </w:tabs>
        <w:spacing w:after="0" w:line="240" w:lineRule="auto"/>
        <w:rPr>
          <w:rFonts w:ascii="Times New Roman" w:hAnsi="Times New Roman"/>
          <w:i/>
          <w:iCs/>
          <w:sz w:val="20"/>
          <w:szCs w:val="20"/>
        </w:rPr>
      </w:pPr>
    </w:p>
    <w:p w:rsidR="001654C6" w:rsidRPr="00C1468D" w:rsidRDefault="001654C6" w:rsidP="001654C6">
      <w:pPr>
        <w:tabs>
          <w:tab w:val="left" w:pos="3600"/>
          <w:tab w:val="left" w:pos="6480"/>
        </w:tabs>
        <w:spacing w:after="0" w:line="240" w:lineRule="auto"/>
        <w:rPr>
          <w:rFonts w:ascii="Times New Roman" w:hAnsi="Times New Roman"/>
        </w:rPr>
      </w:pPr>
    </w:p>
    <w:p w:rsidR="001654C6" w:rsidRDefault="001654C6" w:rsidP="001654C6">
      <w:pPr>
        <w:spacing w:after="0" w:line="240" w:lineRule="auto"/>
        <w:rPr>
          <w:rFonts w:ascii="Times New Roman" w:hAnsi="Times New Roman"/>
          <w:b/>
          <w:i/>
          <w:sz w:val="32"/>
          <w:szCs w:val="32"/>
        </w:rPr>
        <w:sectPr w:rsidR="001654C6" w:rsidSect="001654C6">
          <w:pgSz w:w="12240" w:h="15840" w:code="1"/>
          <w:pgMar w:top="432" w:right="432" w:bottom="432" w:left="432" w:header="432" w:footer="432" w:gutter="0"/>
          <w:cols w:space="720"/>
          <w:docGrid w:linePitch="360"/>
        </w:sectPr>
      </w:pPr>
    </w:p>
    <w:p w:rsidR="004A2BD0" w:rsidRPr="0082376C" w:rsidRDefault="004A2BD0" w:rsidP="004A2BD0">
      <w:pPr>
        <w:spacing w:after="0" w:line="240" w:lineRule="auto"/>
        <w:rPr>
          <w:rFonts w:ascii="Times New Roman" w:hAnsi="Times New Roman" w:cs="Times New Roman"/>
          <w:b/>
          <w:i/>
          <w:sz w:val="32"/>
          <w:szCs w:val="32"/>
        </w:rPr>
      </w:pPr>
      <w:r w:rsidRPr="0082376C">
        <w:rPr>
          <w:rFonts w:ascii="Times New Roman" w:hAnsi="Times New Roman" w:cs="Times New Roman"/>
          <w:b/>
          <w:i/>
          <w:sz w:val="32"/>
          <w:szCs w:val="32"/>
        </w:rPr>
        <w:lastRenderedPageBreak/>
        <w:t>Technical Plan for the Second Four Months of 2011</w:t>
      </w:r>
    </w:p>
    <w:p w:rsidR="004A2BD0" w:rsidRPr="004A2BD0" w:rsidRDefault="004A2BD0" w:rsidP="004A2BD0">
      <w:pPr>
        <w:spacing w:after="0" w:line="240" w:lineRule="auto"/>
        <w:rPr>
          <w:rFonts w:ascii="Times New Roman" w:hAnsi="Times New Roman" w:cs="Times New Roman"/>
          <w:sz w:val="24"/>
          <w:szCs w:val="24"/>
        </w:rPr>
      </w:pPr>
    </w:p>
    <w:p w:rsidR="004A2BD0" w:rsidRP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In April, the Board reviewed its second third 2011 technical plan and provided input to the GASB chairman. After considering Board members’ views and the views previously stated by the Governmental Accounting Standards Advisory Council members, the chairman approved the technical plan.</w:t>
      </w:r>
    </w:p>
    <w:p w:rsidR="004A2BD0" w:rsidRPr="004A2BD0" w:rsidRDefault="004A2BD0" w:rsidP="004A2BD0">
      <w:pPr>
        <w:spacing w:after="0" w:line="240" w:lineRule="auto"/>
        <w:rPr>
          <w:rFonts w:ascii="Times New Roman" w:hAnsi="Times New Roman" w:cs="Times New Roman"/>
          <w:sz w:val="24"/>
          <w:szCs w:val="24"/>
        </w:rPr>
      </w:pPr>
    </w:p>
    <w:p w:rsidR="004A2BD0" w:rsidRPr="0082376C" w:rsidRDefault="004A2BD0" w:rsidP="004A2BD0">
      <w:pPr>
        <w:spacing w:after="0" w:line="240" w:lineRule="auto"/>
        <w:rPr>
          <w:rFonts w:ascii="Times New Roman" w:hAnsi="Times New Roman" w:cs="Times New Roman"/>
          <w:b/>
          <w:i/>
          <w:sz w:val="28"/>
          <w:szCs w:val="28"/>
        </w:rPr>
      </w:pPr>
      <w:r w:rsidRPr="0082376C">
        <w:rPr>
          <w:rFonts w:ascii="Times New Roman" w:hAnsi="Times New Roman" w:cs="Times New Roman"/>
          <w:b/>
          <w:i/>
          <w:sz w:val="28"/>
          <w:szCs w:val="28"/>
        </w:rPr>
        <w:t>Project on Financial Guarantees Added to Current Agenda</w:t>
      </w:r>
    </w:p>
    <w:p w:rsidR="0082376C" w:rsidRDefault="0082376C" w:rsidP="004A2BD0">
      <w:pPr>
        <w:spacing w:after="0" w:line="240" w:lineRule="auto"/>
        <w:rPr>
          <w:rFonts w:ascii="Times New Roman" w:hAnsi="Times New Roman" w:cs="Times New Roman"/>
          <w:sz w:val="24"/>
          <w:szCs w:val="24"/>
        </w:rPr>
      </w:pPr>
    </w:p>
    <w:p w:rsid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The technical plan for the second third of 2011 includes a new current agenda project on financial guarantees. (Please see the related article on page 1.) In addition, projects addressing lease accounting and the hierarchy of generally accepted accounting principles were added to the research agenda. The technical plan also reflects the start of Board deliberations on other postemployment benefits as part of the broader postemployment benefits project.</w:t>
      </w:r>
    </w:p>
    <w:p w:rsidR="00A73358" w:rsidRPr="004A2BD0" w:rsidRDefault="00A73358" w:rsidP="004A2BD0">
      <w:pPr>
        <w:spacing w:after="0" w:line="240" w:lineRule="auto"/>
        <w:rPr>
          <w:rFonts w:ascii="Times New Roman" w:hAnsi="Times New Roman" w:cs="Times New Roman"/>
          <w:sz w:val="24"/>
          <w:szCs w:val="24"/>
        </w:rPr>
      </w:pPr>
    </w:p>
    <w:p w:rsidR="004A2BD0" w:rsidRDefault="004A2BD0" w:rsidP="004A2BD0">
      <w:pPr>
        <w:spacing w:after="0" w:line="240" w:lineRule="auto"/>
        <w:rPr>
          <w:rFonts w:ascii="Times New Roman" w:hAnsi="Times New Roman" w:cs="Times New Roman"/>
          <w:i/>
          <w:sz w:val="24"/>
          <w:szCs w:val="24"/>
        </w:rPr>
      </w:pPr>
      <w:r w:rsidRPr="004A2BD0">
        <w:rPr>
          <w:rFonts w:ascii="Times New Roman" w:hAnsi="Times New Roman" w:cs="Times New Roman"/>
          <w:sz w:val="24"/>
          <w:szCs w:val="24"/>
        </w:rPr>
        <w:t xml:space="preserve">The technical plan anticipates, in addition to the continued deliberation of projects on the GASB’s current technical agenda, the issuance of a Preliminary Views on recognition and measurement attributes under the conceptual framework; two Exposure Drafts in the pension accounting and financial reporting project: one on employer accounting and financial reporting, and one on plan accounting and financial reporting; and the 2011–2012 </w:t>
      </w:r>
      <w:r w:rsidRPr="0082376C">
        <w:rPr>
          <w:rFonts w:ascii="Times New Roman" w:hAnsi="Times New Roman" w:cs="Times New Roman"/>
          <w:i/>
          <w:sz w:val="24"/>
          <w:szCs w:val="24"/>
        </w:rPr>
        <w:t>Comprehensive Implementation Guide.</w:t>
      </w:r>
    </w:p>
    <w:p w:rsidR="00A73358" w:rsidRPr="0082376C" w:rsidRDefault="00A73358" w:rsidP="004A2BD0">
      <w:pPr>
        <w:spacing w:after="0" w:line="240" w:lineRule="auto"/>
        <w:rPr>
          <w:rFonts w:ascii="Times New Roman" w:hAnsi="Times New Roman" w:cs="Times New Roman"/>
          <w:i/>
          <w:sz w:val="24"/>
          <w:szCs w:val="24"/>
        </w:rPr>
      </w:pPr>
    </w:p>
    <w:p w:rsidR="004A2BD0" w:rsidRP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A summary of the objectives and status of each of the projects on the Board’s current agenda, as well as summary information about projects that comprise the research portion of its technical plan, is presented below. Additional information about all of the Board’s projects, as well as about issues identified as potential future projects, is included in the GASB’s technical plan for the second third of 2011, which can be viewed or downloaded at the GASB website at www.gasb.org.</w:t>
      </w:r>
    </w:p>
    <w:p w:rsidR="004A2BD0" w:rsidRPr="004A2BD0" w:rsidRDefault="004A2BD0" w:rsidP="004A2BD0">
      <w:pPr>
        <w:spacing w:after="0" w:line="240" w:lineRule="auto"/>
        <w:rPr>
          <w:rFonts w:ascii="Times New Roman" w:hAnsi="Times New Roman" w:cs="Times New Roman"/>
          <w:sz w:val="24"/>
          <w:szCs w:val="24"/>
        </w:rPr>
      </w:pPr>
    </w:p>
    <w:p w:rsidR="004A2BD0" w:rsidRPr="0082376C" w:rsidRDefault="004A2BD0" w:rsidP="004A2BD0">
      <w:pPr>
        <w:spacing w:after="0" w:line="240" w:lineRule="auto"/>
        <w:rPr>
          <w:rFonts w:ascii="Times New Roman" w:hAnsi="Times New Roman" w:cs="Times New Roman"/>
          <w:b/>
          <w:i/>
          <w:sz w:val="28"/>
          <w:szCs w:val="28"/>
        </w:rPr>
      </w:pPr>
      <w:r w:rsidRPr="0082376C">
        <w:rPr>
          <w:rFonts w:ascii="Times New Roman" w:hAnsi="Times New Roman" w:cs="Times New Roman"/>
          <w:b/>
          <w:i/>
          <w:sz w:val="28"/>
          <w:szCs w:val="28"/>
        </w:rPr>
        <w:t>Current Agenda Projects</w:t>
      </w:r>
    </w:p>
    <w:p w:rsidR="0082376C" w:rsidRDefault="0082376C" w:rsidP="004A2BD0">
      <w:pPr>
        <w:spacing w:after="0" w:line="240" w:lineRule="auto"/>
        <w:rPr>
          <w:rFonts w:ascii="Times New Roman" w:hAnsi="Times New Roman" w:cs="Times New Roman"/>
          <w:sz w:val="24"/>
          <w:szCs w:val="24"/>
        </w:rPr>
      </w:pPr>
    </w:p>
    <w:p w:rsidR="004A2BD0" w:rsidRPr="0082376C" w:rsidRDefault="004A2BD0" w:rsidP="004A2BD0">
      <w:pPr>
        <w:spacing w:after="0" w:line="240" w:lineRule="auto"/>
        <w:rPr>
          <w:rFonts w:ascii="Times New Roman" w:hAnsi="Times New Roman" w:cs="Times New Roman"/>
          <w:b/>
          <w:i/>
          <w:sz w:val="24"/>
          <w:szCs w:val="24"/>
        </w:rPr>
      </w:pPr>
      <w:r w:rsidRPr="0082376C">
        <w:rPr>
          <w:rFonts w:ascii="Times New Roman" w:hAnsi="Times New Roman" w:cs="Times New Roman"/>
          <w:b/>
          <w:i/>
          <w:sz w:val="24"/>
          <w:szCs w:val="24"/>
        </w:rPr>
        <w:t>Conceptual Framework—Recognition and Measurement Approaches</w:t>
      </w:r>
    </w:p>
    <w:p w:rsidR="0082376C" w:rsidRDefault="0082376C" w:rsidP="004A2BD0">
      <w:pPr>
        <w:spacing w:after="0" w:line="240" w:lineRule="auto"/>
        <w:rPr>
          <w:rFonts w:ascii="Times New Roman" w:hAnsi="Times New Roman" w:cs="Times New Roman"/>
          <w:sz w:val="24"/>
          <w:szCs w:val="24"/>
        </w:rPr>
      </w:pPr>
    </w:p>
    <w:p w:rsidR="004A2BD0" w:rsidRDefault="004A2BD0" w:rsidP="004A2BD0">
      <w:pPr>
        <w:spacing w:after="0" w:line="240" w:lineRule="auto"/>
        <w:rPr>
          <w:rFonts w:ascii="Times New Roman" w:hAnsi="Times New Roman" w:cs="Times New Roman"/>
          <w:sz w:val="24"/>
          <w:szCs w:val="24"/>
        </w:rPr>
      </w:pPr>
      <w:r w:rsidRPr="0082376C">
        <w:rPr>
          <w:rFonts w:ascii="Times New Roman" w:hAnsi="Times New Roman" w:cs="Times New Roman"/>
          <w:b/>
          <w:i/>
          <w:color w:val="7F7F7F" w:themeColor="text1" w:themeTint="80"/>
          <w:sz w:val="24"/>
          <w:szCs w:val="24"/>
        </w:rPr>
        <w:t>Primary Objectives:</w:t>
      </w:r>
      <w:r w:rsidRPr="004A2BD0">
        <w:rPr>
          <w:rFonts w:ascii="Times New Roman" w:hAnsi="Times New Roman" w:cs="Times New Roman"/>
          <w:sz w:val="24"/>
          <w:szCs w:val="24"/>
        </w:rPr>
        <w:t xml:space="preserve"> This project has two primary objectives. The first objective is to develop recognition criteria for whether information should be reported in state and local governmental financial statements and </w:t>
      </w:r>
      <w:r w:rsidRPr="0082376C">
        <w:rPr>
          <w:rFonts w:ascii="Times New Roman" w:hAnsi="Times New Roman" w:cs="Times New Roman"/>
          <w:i/>
          <w:sz w:val="24"/>
          <w:szCs w:val="24"/>
        </w:rPr>
        <w:t>when</w:t>
      </w:r>
      <w:r w:rsidRPr="004A2BD0">
        <w:rPr>
          <w:rFonts w:ascii="Times New Roman" w:hAnsi="Times New Roman" w:cs="Times New Roman"/>
          <w:sz w:val="24"/>
          <w:szCs w:val="24"/>
        </w:rPr>
        <w:t xml:space="preserve"> that information should be reported. The second objective is to consider the measurement approach or measurement approaches that conceptually should be used in governmental financial statements. This project ultimately will lead to a Concepts Statement.</w:t>
      </w:r>
    </w:p>
    <w:p w:rsidR="00A73358" w:rsidRPr="004A2BD0" w:rsidRDefault="00A73358" w:rsidP="004A2BD0">
      <w:pPr>
        <w:spacing w:after="0" w:line="240" w:lineRule="auto"/>
        <w:rPr>
          <w:rFonts w:ascii="Times New Roman" w:hAnsi="Times New Roman" w:cs="Times New Roman"/>
          <w:sz w:val="24"/>
          <w:szCs w:val="24"/>
        </w:rPr>
      </w:pPr>
    </w:p>
    <w:p w:rsidR="004A2BD0" w:rsidRPr="004A2BD0" w:rsidRDefault="004A2BD0" w:rsidP="004A2BD0">
      <w:pPr>
        <w:spacing w:after="0" w:line="240" w:lineRule="auto"/>
        <w:rPr>
          <w:rFonts w:ascii="Times New Roman" w:hAnsi="Times New Roman" w:cs="Times New Roman"/>
          <w:sz w:val="24"/>
          <w:szCs w:val="24"/>
        </w:rPr>
      </w:pPr>
      <w:r w:rsidRPr="0082376C">
        <w:rPr>
          <w:rFonts w:ascii="Times New Roman" w:hAnsi="Times New Roman" w:cs="Times New Roman"/>
          <w:b/>
          <w:i/>
          <w:color w:val="7F7F7F" w:themeColor="text1" w:themeTint="80"/>
          <w:sz w:val="24"/>
          <w:szCs w:val="24"/>
        </w:rPr>
        <w:t>Looking Ahead:</w:t>
      </w:r>
      <w:r w:rsidRPr="004A2BD0">
        <w:rPr>
          <w:rFonts w:ascii="Times New Roman" w:hAnsi="Times New Roman" w:cs="Times New Roman"/>
          <w:sz w:val="24"/>
          <w:szCs w:val="24"/>
        </w:rPr>
        <w:t xml:space="preserve"> During the second third of 2011, Board activities will continue to focus on development of a Preliminary Views. The Preliminary Views is expected to be approved for release in June.</w:t>
      </w:r>
    </w:p>
    <w:p w:rsidR="0082376C" w:rsidRDefault="0082376C" w:rsidP="004A2BD0">
      <w:pPr>
        <w:spacing w:after="0" w:line="240" w:lineRule="auto"/>
        <w:rPr>
          <w:rFonts w:ascii="Times New Roman" w:hAnsi="Times New Roman" w:cs="Times New Roman"/>
          <w:sz w:val="24"/>
          <w:szCs w:val="24"/>
        </w:rPr>
      </w:pPr>
    </w:p>
    <w:p w:rsidR="004A2BD0" w:rsidRPr="0082376C" w:rsidRDefault="004A2BD0" w:rsidP="004A2BD0">
      <w:pPr>
        <w:spacing w:after="0" w:line="240" w:lineRule="auto"/>
        <w:rPr>
          <w:rFonts w:ascii="Times New Roman" w:hAnsi="Times New Roman" w:cs="Times New Roman"/>
          <w:b/>
          <w:i/>
          <w:sz w:val="24"/>
          <w:szCs w:val="24"/>
        </w:rPr>
      </w:pPr>
      <w:r w:rsidRPr="0082376C">
        <w:rPr>
          <w:rFonts w:ascii="Times New Roman" w:hAnsi="Times New Roman" w:cs="Times New Roman"/>
          <w:b/>
          <w:i/>
          <w:sz w:val="24"/>
          <w:szCs w:val="24"/>
        </w:rPr>
        <w:t>Economic Condition Reporting—Fiscal Sustainability</w:t>
      </w:r>
    </w:p>
    <w:p w:rsidR="0082376C" w:rsidRDefault="0082376C" w:rsidP="004A2BD0">
      <w:pPr>
        <w:spacing w:after="0" w:line="240" w:lineRule="auto"/>
        <w:rPr>
          <w:rFonts w:ascii="Times New Roman" w:hAnsi="Times New Roman" w:cs="Times New Roman"/>
          <w:sz w:val="24"/>
          <w:szCs w:val="24"/>
        </w:rPr>
      </w:pPr>
    </w:p>
    <w:p w:rsidR="004A2BD0" w:rsidRPr="004A2BD0" w:rsidRDefault="004A2BD0" w:rsidP="004A2BD0">
      <w:pPr>
        <w:spacing w:after="0" w:line="240" w:lineRule="auto"/>
        <w:rPr>
          <w:rFonts w:ascii="Times New Roman" w:hAnsi="Times New Roman" w:cs="Times New Roman"/>
          <w:sz w:val="24"/>
          <w:szCs w:val="24"/>
        </w:rPr>
      </w:pPr>
      <w:r w:rsidRPr="0082376C">
        <w:rPr>
          <w:rFonts w:ascii="Times New Roman" w:hAnsi="Times New Roman" w:cs="Times New Roman"/>
          <w:b/>
          <w:i/>
          <w:color w:val="7F7F7F" w:themeColor="text1" w:themeTint="80"/>
          <w:sz w:val="24"/>
          <w:szCs w:val="24"/>
        </w:rPr>
        <w:lastRenderedPageBreak/>
        <w:t>Primary Objective:</w:t>
      </w:r>
      <w:r w:rsidRPr="004A2BD0">
        <w:rPr>
          <w:rFonts w:ascii="Times New Roman" w:hAnsi="Times New Roman" w:cs="Times New Roman"/>
          <w:sz w:val="24"/>
          <w:szCs w:val="24"/>
        </w:rPr>
        <w:t xml:space="preserve"> The objective of this project is to consider whether guidance or guidelines should be provided for additional information about economic condition, particularly fiscal sustainability, as part of general purpose external financial reporting. This project also will include consideration of the information financial statement users identified as necessary to assess the risks associated with a government’s intergovernmental financial dependencies.</w:t>
      </w:r>
    </w:p>
    <w:p w:rsidR="0082376C" w:rsidRDefault="0082376C" w:rsidP="004A2BD0">
      <w:pPr>
        <w:spacing w:after="0" w:line="240" w:lineRule="auto"/>
        <w:rPr>
          <w:rFonts w:ascii="Times New Roman" w:hAnsi="Times New Roman" w:cs="Times New Roman"/>
          <w:sz w:val="24"/>
          <w:szCs w:val="24"/>
        </w:rPr>
      </w:pPr>
    </w:p>
    <w:p w:rsidR="004A2BD0" w:rsidRDefault="004A2BD0" w:rsidP="004A2BD0">
      <w:pPr>
        <w:spacing w:after="0" w:line="240" w:lineRule="auto"/>
        <w:rPr>
          <w:rFonts w:ascii="Times New Roman" w:hAnsi="Times New Roman" w:cs="Times New Roman"/>
          <w:sz w:val="24"/>
          <w:szCs w:val="24"/>
        </w:rPr>
      </w:pPr>
      <w:r w:rsidRPr="0082376C">
        <w:rPr>
          <w:rFonts w:ascii="Times New Roman" w:hAnsi="Times New Roman" w:cs="Times New Roman"/>
          <w:b/>
          <w:i/>
          <w:color w:val="7F7F7F" w:themeColor="text1" w:themeTint="80"/>
          <w:sz w:val="24"/>
          <w:szCs w:val="24"/>
        </w:rPr>
        <w:t>Looking Ahead:</w:t>
      </w:r>
      <w:r w:rsidRPr="004A2BD0">
        <w:rPr>
          <w:rFonts w:ascii="Times New Roman" w:hAnsi="Times New Roman" w:cs="Times New Roman"/>
          <w:sz w:val="24"/>
          <w:szCs w:val="24"/>
        </w:rPr>
        <w:t xml:space="preserve"> During the second third of 2011, Board activities will continue to focus on development of a Preliminary Views. The Preliminary Views is scheduled to be released in October.</w:t>
      </w:r>
    </w:p>
    <w:p w:rsidR="00E81E6D" w:rsidRPr="004A2BD0" w:rsidRDefault="00E81E6D" w:rsidP="004A2BD0">
      <w:pPr>
        <w:spacing w:after="0" w:line="240" w:lineRule="auto"/>
        <w:rPr>
          <w:rFonts w:ascii="Times New Roman" w:hAnsi="Times New Roman" w:cs="Times New Roman"/>
          <w:sz w:val="24"/>
          <w:szCs w:val="24"/>
        </w:rPr>
      </w:pPr>
    </w:p>
    <w:p w:rsidR="004A2BD0" w:rsidRPr="00E81E6D" w:rsidRDefault="004A2BD0" w:rsidP="004A2BD0">
      <w:pPr>
        <w:spacing w:after="0" w:line="240" w:lineRule="auto"/>
        <w:rPr>
          <w:rFonts w:ascii="Times New Roman" w:hAnsi="Times New Roman" w:cs="Times New Roman"/>
          <w:b/>
          <w:i/>
          <w:sz w:val="24"/>
          <w:szCs w:val="24"/>
        </w:rPr>
      </w:pPr>
      <w:r w:rsidRPr="00E81E6D">
        <w:rPr>
          <w:rFonts w:ascii="Times New Roman" w:hAnsi="Times New Roman" w:cs="Times New Roman"/>
          <w:b/>
          <w:i/>
          <w:sz w:val="24"/>
          <w:szCs w:val="24"/>
        </w:rPr>
        <w:t>Financial Guarantees</w:t>
      </w:r>
    </w:p>
    <w:p w:rsidR="00E81E6D" w:rsidRDefault="00E81E6D" w:rsidP="004A2BD0">
      <w:pPr>
        <w:spacing w:after="0" w:line="240" w:lineRule="auto"/>
        <w:rPr>
          <w:rFonts w:ascii="Times New Roman" w:hAnsi="Times New Roman" w:cs="Times New Roman"/>
          <w:sz w:val="24"/>
          <w:szCs w:val="24"/>
        </w:rPr>
      </w:pPr>
    </w:p>
    <w:p w:rsidR="004A2BD0" w:rsidRPr="004A2BD0" w:rsidRDefault="004A2BD0" w:rsidP="004A2BD0">
      <w:pPr>
        <w:spacing w:after="0" w:line="240" w:lineRule="auto"/>
        <w:rPr>
          <w:rFonts w:ascii="Times New Roman" w:hAnsi="Times New Roman" w:cs="Times New Roman"/>
          <w:sz w:val="24"/>
          <w:szCs w:val="24"/>
        </w:rPr>
      </w:pPr>
      <w:r w:rsidRPr="00E81E6D">
        <w:rPr>
          <w:rFonts w:ascii="Times New Roman" w:hAnsi="Times New Roman" w:cs="Times New Roman"/>
          <w:b/>
          <w:i/>
          <w:color w:val="7F7F7F" w:themeColor="text1" w:themeTint="80"/>
          <w:sz w:val="24"/>
          <w:szCs w:val="24"/>
        </w:rPr>
        <w:t>Primary Objective:</w:t>
      </w:r>
      <w:r w:rsidRPr="004A2BD0">
        <w:rPr>
          <w:rFonts w:ascii="Times New Roman" w:hAnsi="Times New Roman" w:cs="Times New Roman"/>
          <w:sz w:val="24"/>
          <w:szCs w:val="24"/>
        </w:rPr>
        <w:t xml:space="preserve"> The objective of this project is to establish additional guidance regarding the recognition and disclosure of financial guarantees made and received by state and local governments.</w:t>
      </w:r>
    </w:p>
    <w:p w:rsidR="00E81E6D" w:rsidRDefault="00E81E6D" w:rsidP="004A2BD0">
      <w:pPr>
        <w:spacing w:after="0" w:line="240" w:lineRule="auto"/>
        <w:rPr>
          <w:rFonts w:ascii="Times New Roman" w:hAnsi="Times New Roman" w:cs="Times New Roman"/>
          <w:sz w:val="24"/>
          <w:szCs w:val="24"/>
        </w:rPr>
      </w:pPr>
    </w:p>
    <w:p w:rsidR="004A2BD0" w:rsidRPr="004A2BD0" w:rsidRDefault="004A2BD0" w:rsidP="004A2BD0">
      <w:pPr>
        <w:spacing w:after="0" w:line="240" w:lineRule="auto"/>
        <w:rPr>
          <w:rFonts w:ascii="Times New Roman" w:hAnsi="Times New Roman" w:cs="Times New Roman"/>
          <w:sz w:val="24"/>
          <w:szCs w:val="24"/>
        </w:rPr>
      </w:pPr>
      <w:r w:rsidRPr="00E81E6D">
        <w:rPr>
          <w:rFonts w:ascii="Times New Roman" w:hAnsi="Times New Roman" w:cs="Times New Roman"/>
          <w:b/>
          <w:i/>
          <w:color w:val="7F7F7F" w:themeColor="text1" w:themeTint="80"/>
          <w:sz w:val="24"/>
          <w:szCs w:val="24"/>
        </w:rPr>
        <w:t>Looking Ahead:</w:t>
      </w:r>
      <w:r w:rsidRPr="004A2BD0">
        <w:rPr>
          <w:rFonts w:ascii="Times New Roman" w:hAnsi="Times New Roman" w:cs="Times New Roman"/>
          <w:sz w:val="24"/>
          <w:szCs w:val="24"/>
        </w:rPr>
        <w:t xml:space="preserve"> During the second third of 2011, Board activities will include consideration of scope issues, review of relevant accounting literature, and deliberation of recognition issues.</w:t>
      </w:r>
    </w:p>
    <w:p w:rsidR="00E81E6D" w:rsidRDefault="00E81E6D" w:rsidP="004A2BD0">
      <w:pPr>
        <w:spacing w:after="0" w:line="240" w:lineRule="auto"/>
        <w:rPr>
          <w:rFonts w:ascii="Times New Roman" w:hAnsi="Times New Roman" w:cs="Times New Roman"/>
          <w:sz w:val="24"/>
          <w:szCs w:val="24"/>
        </w:rPr>
      </w:pPr>
    </w:p>
    <w:p w:rsidR="004A2BD0" w:rsidRPr="00E81E6D" w:rsidRDefault="004A2BD0" w:rsidP="004A2BD0">
      <w:pPr>
        <w:spacing w:after="0" w:line="240" w:lineRule="auto"/>
        <w:rPr>
          <w:rFonts w:ascii="Times New Roman" w:hAnsi="Times New Roman" w:cs="Times New Roman"/>
          <w:b/>
          <w:i/>
          <w:sz w:val="24"/>
          <w:szCs w:val="24"/>
        </w:rPr>
      </w:pPr>
      <w:r w:rsidRPr="00E81E6D">
        <w:rPr>
          <w:rFonts w:ascii="Times New Roman" w:hAnsi="Times New Roman" w:cs="Times New Roman"/>
          <w:b/>
          <w:i/>
          <w:sz w:val="24"/>
          <w:szCs w:val="24"/>
        </w:rPr>
        <w:t>Government Combinations</w:t>
      </w:r>
    </w:p>
    <w:p w:rsidR="00E81E6D" w:rsidRDefault="00E81E6D" w:rsidP="004A2BD0">
      <w:pPr>
        <w:spacing w:after="0" w:line="240" w:lineRule="auto"/>
        <w:rPr>
          <w:rFonts w:ascii="Times New Roman" w:hAnsi="Times New Roman" w:cs="Times New Roman"/>
          <w:sz w:val="24"/>
          <w:szCs w:val="24"/>
        </w:rPr>
      </w:pPr>
    </w:p>
    <w:p w:rsidR="004A2BD0" w:rsidRPr="004A2BD0" w:rsidRDefault="004A2BD0" w:rsidP="004A2BD0">
      <w:pPr>
        <w:spacing w:after="0" w:line="240" w:lineRule="auto"/>
        <w:rPr>
          <w:rFonts w:ascii="Times New Roman" w:hAnsi="Times New Roman" w:cs="Times New Roman"/>
          <w:sz w:val="24"/>
          <w:szCs w:val="24"/>
        </w:rPr>
      </w:pPr>
      <w:r w:rsidRPr="00E81E6D">
        <w:rPr>
          <w:rFonts w:ascii="Times New Roman" w:hAnsi="Times New Roman" w:cs="Times New Roman"/>
          <w:b/>
          <w:i/>
          <w:color w:val="7F7F7F" w:themeColor="text1" w:themeTint="80"/>
          <w:sz w:val="24"/>
          <w:szCs w:val="24"/>
        </w:rPr>
        <w:t>Primary Objective:</w:t>
      </w:r>
      <w:r w:rsidRPr="004A2BD0">
        <w:rPr>
          <w:rFonts w:ascii="Times New Roman" w:hAnsi="Times New Roman" w:cs="Times New Roman"/>
          <w:sz w:val="24"/>
          <w:szCs w:val="24"/>
        </w:rPr>
        <w:t xml:space="preserve"> The objective of this project is to consider the financial reporting requirements for government combinations that are accomplished through annexation, consolidation, acquisition, or other means. In addition, the project addresses certain spin-off issues; for example, accounting for a library district that was formerly a department in a primary government.</w:t>
      </w:r>
    </w:p>
    <w:p w:rsidR="00E81E6D" w:rsidRDefault="00E81E6D" w:rsidP="004A2BD0">
      <w:pPr>
        <w:spacing w:after="0" w:line="240" w:lineRule="auto"/>
        <w:rPr>
          <w:rFonts w:ascii="Times New Roman" w:hAnsi="Times New Roman" w:cs="Times New Roman"/>
          <w:sz w:val="24"/>
          <w:szCs w:val="24"/>
        </w:rPr>
      </w:pPr>
    </w:p>
    <w:p w:rsidR="004A2BD0" w:rsidRPr="004A2BD0" w:rsidRDefault="004A2BD0" w:rsidP="004A2BD0">
      <w:pPr>
        <w:spacing w:after="0" w:line="240" w:lineRule="auto"/>
        <w:rPr>
          <w:rFonts w:ascii="Times New Roman" w:hAnsi="Times New Roman" w:cs="Times New Roman"/>
          <w:sz w:val="24"/>
          <w:szCs w:val="24"/>
        </w:rPr>
      </w:pPr>
      <w:r w:rsidRPr="00E81E6D">
        <w:rPr>
          <w:rFonts w:ascii="Times New Roman" w:hAnsi="Times New Roman" w:cs="Times New Roman"/>
          <w:b/>
          <w:i/>
          <w:color w:val="7F7F7F" w:themeColor="text1" w:themeTint="80"/>
          <w:sz w:val="24"/>
          <w:szCs w:val="24"/>
        </w:rPr>
        <w:t>Looking Ahead:</w:t>
      </w:r>
      <w:r w:rsidRPr="004A2BD0">
        <w:rPr>
          <w:rFonts w:ascii="Times New Roman" w:hAnsi="Times New Roman" w:cs="Times New Roman"/>
          <w:sz w:val="24"/>
          <w:szCs w:val="24"/>
        </w:rPr>
        <w:t xml:space="preserve"> During the second third of 2011, the Board will deliberate issues related to general purpose government combinations in which no consideration is given (for example, mergers, consolidations, and annexations). Issuance of an Exposure Draft is planned for April 2012.</w:t>
      </w:r>
    </w:p>
    <w:p w:rsidR="00E81E6D" w:rsidRDefault="00E81E6D" w:rsidP="004A2BD0">
      <w:pPr>
        <w:spacing w:after="0" w:line="240" w:lineRule="auto"/>
        <w:rPr>
          <w:rFonts w:ascii="Times New Roman" w:hAnsi="Times New Roman" w:cs="Times New Roman"/>
          <w:sz w:val="24"/>
          <w:szCs w:val="24"/>
        </w:rPr>
      </w:pPr>
    </w:p>
    <w:p w:rsidR="004A2BD0" w:rsidRPr="00E81E6D" w:rsidRDefault="004A2BD0" w:rsidP="004A2BD0">
      <w:pPr>
        <w:spacing w:after="0" w:line="240" w:lineRule="auto"/>
        <w:rPr>
          <w:rFonts w:ascii="Times New Roman" w:hAnsi="Times New Roman" w:cs="Times New Roman"/>
          <w:b/>
          <w:i/>
          <w:sz w:val="24"/>
          <w:szCs w:val="24"/>
        </w:rPr>
      </w:pPr>
      <w:r w:rsidRPr="00E81E6D">
        <w:rPr>
          <w:rFonts w:ascii="Times New Roman" w:hAnsi="Times New Roman" w:cs="Times New Roman"/>
          <w:b/>
          <w:i/>
          <w:sz w:val="24"/>
          <w:szCs w:val="24"/>
        </w:rPr>
        <w:t>Postemployment Benefit Accounting and Financial Reporting: Other Postemployment Benefit Accounting and Financial Reporting</w:t>
      </w:r>
    </w:p>
    <w:p w:rsidR="00E81E6D" w:rsidRDefault="00E81E6D" w:rsidP="004A2BD0">
      <w:pPr>
        <w:spacing w:after="0" w:line="240" w:lineRule="auto"/>
        <w:rPr>
          <w:rFonts w:ascii="Times New Roman" w:hAnsi="Times New Roman" w:cs="Times New Roman"/>
          <w:sz w:val="24"/>
          <w:szCs w:val="24"/>
        </w:rPr>
      </w:pPr>
    </w:p>
    <w:p w:rsidR="004A2BD0" w:rsidRPr="004A2BD0" w:rsidRDefault="004A2BD0" w:rsidP="004A2BD0">
      <w:pPr>
        <w:spacing w:after="0" w:line="240" w:lineRule="auto"/>
        <w:rPr>
          <w:rFonts w:ascii="Times New Roman" w:hAnsi="Times New Roman" w:cs="Times New Roman"/>
          <w:sz w:val="24"/>
          <w:szCs w:val="24"/>
        </w:rPr>
      </w:pPr>
      <w:r w:rsidRPr="00E81E6D">
        <w:rPr>
          <w:rFonts w:ascii="Times New Roman" w:hAnsi="Times New Roman" w:cs="Times New Roman"/>
          <w:b/>
          <w:i/>
          <w:color w:val="7F7F7F" w:themeColor="text1" w:themeTint="80"/>
          <w:sz w:val="24"/>
          <w:szCs w:val="24"/>
        </w:rPr>
        <w:t>Primary Objective:</w:t>
      </w:r>
      <w:r w:rsidRPr="004A2BD0">
        <w:rPr>
          <w:rFonts w:ascii="Times New Roman" w:hAnsi="Times New Roman" w:cs="Times New Roman"/>
          <w:sz w:val="24"/>
          <w:szCs w:val="24"/>
        </w:rPr>
        <w:t xml:space="preserve"> The Board will consider the possibility of improvements to the existing standards of accounting and financial reporting for postemployment benefits—including other postemployment benefits (OPEB)—by state and local governmental employers and by the trustees, administrators, or sponsors of OPEB plans. One objective of this project is to improve accountability and the transparency of financial reporting in regard to the financial effects of employers’ commitments and actions related to OPEB. This objective would include improving the information provided to help financial report users assess the degree to which </w:t>
      </w:r>
      <w:r w:rsidRPr="00E81E6D">
        <w:rPr>
          <w:rFonts w:ascii="Times New Roman" w:hAnsi="Times New Roman" w:cs="Times New Roman"/>
          <w:i/>
          <w:sz w:val="24"/>
          <w:szCs w:val="24"/>
        </w:rPr>
        <w:t>interperiod equity</w:t>
      </w:r>
      <w:r w:rsidRPr="004A2BD0">
        <w:rPr>
          <w:rFonts w:ascii="Times New Roman" w:hAnsi="Times New Roman" w:cs="Times New Roman"/>
          <w:sz w:val="24"/>
          <w:szCs w:val="24"/>
        </w:rPr>
        <w:t xml:space="preserve"> has been achieved. The other objective of this project is to improve the </w:t>
      </w:r>
      <w:r w:rsidRPr="00E81E6D">
        <w:rPr>
          <w:rFonts w:ascii="Times New Roman" w:hAnsi="Times New Roman" w:cs="Times New Roman"/>
          <w:i/>
          <w:sz w:val="24"/>
          <w:szCs w:val="24"/>
        </w:rPr>
        <w:t>usefulness</w:t>
      </w:r>
      <w:r w:rsidRPr="004A2BD0">
        <w:rPr>
          <w:rFonts w:ascii="Times New Roman" w:hAnsi="Times New Roman" w:cs="Times New Roman"/>
          <w:sz w:val="24"/>
          <w:szCs w:val="24"/>
        </w:rPr>
        <w:t xml:space="preserve"> of information for decisions or judgments of relevance to the various users of the general purpose external financial reports of governmental employers and OPEB plans.</w:t>
      </w:r>
    </w:p>
    <w:p w:rsidR="00E81E6D" w:rsidRDefault="00E81E6D" w:rsidP="004A2BD0">
      <w:pPr>
        <w:spacing w:after="0" w:line="240" w:lineRule="auto"/>
        <w:rPr>
          <w:rFonts w:ascii="Times New Roman" w:hAnsi="Times New Roman" w:cs="Times New Roman"/>
          <w:sz w:val="24"/>
          <w:szCs w:val="24"/>
        </w:rPr>
      </w:pPr>
    </w:p>
    <w:p w:rsidR="004A2BD0" w:rsidRDefault="004A2BD0" w:rsidP="004A2BD0">
      <w:pPr>
        <w:spacing w:after="0" w:line="240" w:lineRule="auto"/>
        <w:rPr>
          <w:rFonts w:ascii="Times New Roman" w:hAnsi="Times New Roman" w:cs="Times New Roman"/>
          <w:sz w:val="24"/>
          <w:szCs w:val="24"/>
        </w:rPr>
      </w:pPr>
      <w:r w:rsidRPr="00E81E6D">
        <w:rPr>
          <w:rFonts w:ascii="Times New Roman" w:hAnsi="Times New Roman" w:cs="Times New Roman"/>
          <w:b/>
          <w:i/>
          <w:color w:val="7F7F7F" w:themeColor="text1" w:themeTint="80"/>
          <w:sz w:val="24"/>
          <w:szCs w:val="24"/>
        </w:rPr>
        <w:lastRenderedPageBreak/>
        <w:t>Looking Ahead:</w:t>
      </w:r>
      <w:r w:rsidRPr="004A2BD0">
        <w:rPr>
          <w:rFonts w:ascii="Times New Roman" w:hAnsi="Times New Roman" w:cs="Times New Roman"/>
          <w:sz w:val="24"/>
          <w:szCs w:val="24"/>
        </w:rPr>
        <w:t xml:space="preserve"> In preparation for deliberations that will take place in the final third of 2011, the Board will begin to examine OPEB issues at the August meeting, including the identification of potential differences between pension and OPEB accounting and financial reporting. An Exposure Draft is planned for June 2012.</w:t>
      </w:r>
    </w:p>
    <w:p w:rsidR="00E81E6D" w:rsidRPr="004A2BD0" w:rsidRDefault="00E81E6D" w:rsidP="004A2BD0">
      <w:pPr>
        <w:spacing w:after="0" w:line="240" w:lineRule="auto"/>
        <w:rPr>
          <w:rFonts w:ascii="Times New Roman" w:hAnsi="Times New Roman" w:cs="Times New Roman"/>
          <w:sz w:val="24"/>
          <w:szCs w:val="24"/>
        </w:rPr>
      </w:pPr>
    </w:p>
    <w:p w:rsidR="004A2BD0" w:rsidRPr="00E81E6D" w:rsidRDefault="004A2BD0" w:rsidP="004A2BD0">
      <w:pPr>
        <w:spacing w:after="0" w:line="240" w:lineRule="auto"/>
        <w:rPr>
          <w:rFonts w:ascii="Times New Roman" w:hAnsi="Times New Roman" w:cs="Times New Roman"/>
          <w:b/>
          <w:i/>
          <w:sz w:val="24"/>
          <w:szCs w:val="24"/>
        </w:rPr>
      </w:pPr>
      <w:r w:rsidRPr="00E81E6D">
        <w:rPr>
          <w:rFonts w:ascii="Times New Roman" w:hAnsi="Times New Roman" w:cs="Times New Roman"/>
          <w:b/>
          <w:i/>
          <w:sz w:val="24"/>
          <w:szCs w:val="24"/>
        </w:rPr>
        <w:t>Postemployment Benefit Accounting and Financial Reporting: Pension Accounting and Financial Reporting</w:t>
      </w:r>
    </w:p>
    <w:p w:rsidR="00E81E6D" w:rsidRPr="004A2BD0" w:rsidRDefault="00E81E6D" w:rsidP="004A2BD0">
      <w:pPr>
        <w:spacing w:after="0" w:line="240" w:lineRule="auto"/>
        <w:rPr>
          <w:rFonts w:ascii="Times New Roman" w:hAnsi="Times New Roman" w:cs="Times New Roman"/>
          <w:sz w:val="24"/>
          <w:szCs w:val="24"/>
        </w:rPr>
      </w:pPr>
    </w:p>
    <w:p w:rsidR="004A2BD0" w:rsidRPr="004A2BD0" w:rsidRDefault="004A2BD0" w:rsidP="004A2BD0">
      <w:pPr>
        <w:spacing w:after="0" w:line="240" w:lineRule="auto"/>
        <w:rPr>
          <w:rFonts w:ascii="Times New Roman" w:hAnsi="Times New Roman" w:cs="Times New Roman"/>
          <w:sz w:val="24"/>
          <w:szCs w:val="24"/>
        </w:rPr>
      </w:pPr>
      <w:r w:rsidRPr="00E81E6D">
        <w:rPr>
          <w:rFonts w:ascii="Times New Roman" w:hAnsi="Times New Roman" w:cs="Times New Roman"/>
          <w:b/>
          <w:i/>
          <w:color w:val="7F7F7F" w:themeColor="text1" w:themeTint="80"/>
          <w:sz w:val="24"/>
          <w:szCs w:val="24"/>
        </w:rPr>
        <w:t>Primary Objective:</w:t>
      </w:r>
      <w:r w:rsidRPr="004A2BD0">
        <w:rPr>
          <w:rFonts w:ascii="Times New Roman" w:hAnsi="Times New Roman" w:cs="Times New Roman"/>
          <w:sz w:val="24"/>
          <w:szCs w:val="24"/>
        </w:rPr>
        <w:t xml:space="preserve"> The Board will consider the possibility of improvements to the existing standards of accounting and financial reporting for postemployment benefits—including pension benefits—by state and local governmental employers and by the trustees, administrators, or sponsors of pension plans. One objective of this project is to improve accountability and the transparency of financial reporting in regard to the financial effects of employers’ commitments and actions related to pension benefits. This objective would include improving the information provided to help financial report users assess the degree to which </w:t>
      </w:r>
      <w:r w:rsidRPr="00E81E6D">
        <w:rPr>
          <w:rFonts w:ascii="Times New Roman" w:hAnsi="Times New Roman" w:cs="Times New Roman"/>
          <w:i/>
          <w:sz w:val="24"/>
          <w:szCs w:val="24"/>
        </w:rPr>
        <w:t>interperiod equity</w:t>
      </w:r>
      <w:r w:rsidRPr="004A2BD0">
        <w:rPr>
          <w:rFonts w:ascii="Times New Roman" w:hAnsi="Times New Roman" w:cs="Times New Roman"/>
          <w:sz w:val="24"/>
          <w:szCs w:val="24"/>
        </w:rPr>
        <w:t xml:space="preserve"> has been achieved. The other objective of this project is to improve the </w:t>
      </w:r>
      <w:r w:rsidRPr="00E81E6D">
        <w:rPr>
          <w:rFonts w:ascii="Times New Roman" w:hAnsi="Times New Roman" w:cs="Times New Roman"/>
          <w:i/>
          <w:sz w:val="24"/>
          <w:szCs w:val="24"/>
        </w:rPr>
        <w:t>usefulness</w:t>
      </w:r>
      <w:r w:rsidRPr="004A2BD0">
        <w:rPr>
          <w:rFonts w:ascii="Times New Roman" w:hAnsi="Times New Roman" w:cs="Times New Roman"/>
          <w:sz w:val="24"/>
          <w:szCs w:val="24"/>
        </w:rPr>
        <w:t xml:space="preserve"> of information for decisions or judgments of relevance to the various users of the general purpose external financial reports of governmental employers and pension plans.</w:t>
      </w:r>
    </w:p>
    <w:p w:rsidR="00E81E6D" w:rsidRDefault="00E81E6D" w:rsidP="004A2BD0">
      <w:pPr>
        <w:spacing w:after="0" w:line="240" w:lineRule="auto"/>
        <w:rPr>
          <w:rFonts w:ascii="Times New Roman" w:hAnsi="Times New Roman" w:cs="Times New Roman"/>
          <w:sz w:val="24"/>
          <w:szCs w:val="24"/>
        </w:rPr>
      </w:pPr>
    </w:p>
    <w:p w:rsidR="004A2BD0" w:rsidRPr="004A2BD0" w:rsidRDefault="004A2BD0" w:rsidP="004A2BD0">
      <w:pPr>
        <w:spacing w:after="0" w:line="240" w:lineRule="auto"/>
        <w:rPr>
          <w:rFonts w:ascii="Times New Roman" w:hAnsi="Times New Roman" w:cs="Times New Roman"/>
          <w:sz w:val="24"/>
          <w:szCs w:val="24"/>
        </w:rPr>
      </w:pPr>
      <w:r w:rsidRPr="00E81E6D">
        <w:rPr>
          <w:rFonts w:ascii="Times New Roman" w:hAnsi="Times New Roman" w:cs="Times New Roman"/>
          <w:b/>
          <w:i/>
          <w:color w:val="7F7F7F" w:themeColor="text1" w:themeTint="80"/>
          <w:sz w:val="24"/>
          <w:szCs w:val="24"/>
        </w:rPr>
        <w:t>Looking Ahead:</w:t>
      </w:r>
      <w:r w:rsidRPr="004A2BD0">
        <w:rPr>
          <w:rFonts w:ascii="Times New Roman" w:hAnsi="Times New Roman" w:cs="Times New Roman"/>
          <w:sz w:val="24"/>
          <w:szCs w:val="24"/>
        </w:rPr>
        <w:t xml:space="preserve"> During the second third of 2011, the Board will discuss remaining technical issues associated with employer and pension plan reporting and then prepare for approval in June Exposure Drafts on employer and plan pension accounting and financial reporting issues. </w:t>
      </w:r>
    </w:p>
    <w:p w:rsidR="004A2BD0" w:rsidRPr="004A2BD0" w:rsidRDefault="004A2BD0" w:rsidP="004A2BD0">
      <w:pPr>
        <w:spacing w:after="0" w:line="240" w:lineRule="auto"/>
        <w:rPr>
          <w:rFonts w:ascii="Times New Roman" w:hAnsi="Times New Roman" w:cs="Times New Roman"/>
          <w:sz w:val="24"/>
          <w:szCs w:val="24"/>
        </w:rPr>
      </w:pPr>
    </w:p>
    <w:p w:rsidR="004A2BD0" w:rsidRPr="00E81E6D" w:rsidRDefault="004A2BD0" w:rsidP="004A2BD0">
      <w:pPr>
        <w:spacing w:after="0" w:line="240" w:lineRule="auto"/>
        <w:rPr>
          <w:rFonts w:ascii="Times New Roman" w:hAnsi="Times New Roman" w:cs="Times New Roman"/>
          <w:b/>
          <w:i/>
          <w:sz w:val="28"/>
          <w:szCs w:val="28"/>
        </w:rPr>
      </w:pPr>
      <w:r w:rsidRPr="00E81E6D">
        <w:rPr>
          <w:rFonts w:ascii="Times New Roman" w:hAnsi="Times New Roman" w:cs="Times New Roman"/>
          <w:b/>
          <w:i/>
          <w:sz w:val="28"/>
          <w:szCs w:val="28"/>
        </w:rPr>
        <w:t>Practice Issues</w:t>
      </w:r>
    </w:p>
    <w:p w:rsidR="00E81E6D" w:rsidRDefault="00E81E6D" w:rsidP="004A2BD0">
      <w:pPr>
        <w:spacing w:after="0" w:line="240" w:lineRule="auto"/>
        <w:rPr>
          <w:rFonts w:ascii="Times New Roman" w:hAnsi="Times New Roman" w:cs="Times New Roman"/>
          <w:sz w:val="24"/>
          <w:szCs w:val="24"/>
        </w:rPr>
      </w:pPr>
    </w:p>
    <w:p w:rsidR="004A2BD0" w:rsidRDefault="004A2BD0" w:rsidP="004A2BD0">
      <w:pPr>
        <w:spacing w:after="0" w:line="240" w:lineRule="auto"/>
        <w:rPr>
          <w:rFonts w:ascii="Times New Roman" w:hAnsi="Times New Roman" w:cs="Times New Roman"/>
          <w:sz w:val="24"/>
          <w:szCs w:val="24"/>
        </w:rPr>
      </w:pPr>
      <w:r w:rsidRPr="00E81E6D">
        <w:rPr>
          <w:rFonts w:ascii="Times New Roman" w:hAnsi="Times New Roman" w:cs="Times New Roman"/>
          <w:b/>
          <w:i/>
          <w:color w:val="7F7F7F" w:themeColor="text1" w:themeTint="80"/>
          <w:sz w:val="24"/>
          <w:szCs w:val="24"/>
        </w:rPr>
        <w:t>Comprehensive Implementation Guide—Update:</w:t>
      </w:r>
      <w:r w:rsidRPr="004A2BD0">
        <w:rPr>
          <w:rFonts w:ascii="Times New Roman" w:hAnsi="Times New Roman" w:cs="Times New Roman"/>
          <w:sz w:val="24"/>
          <w:szCs w:val="24"/>
        </w:rPr>
        <w:t xml:space="preserve"> The objective of this project is to update the </w:t>
      </w:r>
      <w:r w:rsidRPr="00E81E6D">
        <w:rPr>
          <w:rFonts w:ascii="Times New Roman" w:hAnsi="Times New Roman" w:cs="Times New Roman"/>
          <w:i/>
          <w:sz w:val="24"/>
          <w:szCs w:val="24"/>
        </w:rPr>
        <w:t>Comprehensive Implementation Guide</w:t>
      </w:r>
      <w:r w:rsidRPr="004A2BD0">
        <w:rPr>
          <w:rFonts w:ascii="Times New Roman" w:hAnsi="Times New Roman" w:cs="Times New Roman"/>
          <w:sz w:val="24"/>
          <w:szCs w:val="24"/>
        </w:rPr>
        <w:t xml:space="preserve"> for the effects of new pronouncements and for additional issues that have come to the attention of the staff. The 2011–2012 guide is scheduled for approval in June and issuance in August 2011.</w:t>
      </w:r>
    </w:p>
    <w:p w:rsidR="00E81E6D" w:rsidRPr="004A2BD0" w:rsidRDefault="00E81E6D" w:rsidP="004A2BD0">
      <w:pPr>
        <w:spacing w:after="0" w:line="240" w:lineRule="auto"/>
        <w:rPr>
          <w:rFonts w:ascii="Times New Roman" w:hAnsi="Times New Roman" w:cs="Times New Roman"/>
          <w:sz w:val="24"/>
          <w:szCs w:val="24"/>
        </w:rPr>
      </w:pPr>
    </w:p>
    <w:p w:rsidR="004A2BD0" w:rsidRPr="004A2BD0" w:rsidRDefault="004A2BD0" w:rsidP="004A2BD0">
      <w:pPr>
        <w:spacing w:after="0" w:line="240" w:lineRule="auto"/>
        <w:rPr>
          <w:rFonts w:ascii="Times New Roman" w:hAnsi="Times New Roman" w:cs="Times New Roman"/>
          <w:sz w:val="24"/>
          <w:szCs w:val="24"/>
        </w:rPr>
      </w:pPr>
      <w:r w:rsidRPr="00E81E6D">
        <w:rPr>
          <w:rFonts w:ascii="Times New Roman" w:hAnsi="Times New Roman" w:cs="Times New Roman"/>
          <w:b/>
          <w:i/>
          <w:color w:val="7F7F7F" w:themeColor="text1" w:themeTint="80"/>
          <w:sz w:val="24"/>
          <w:szCs w:val="24"/>
        </w:rPr>
        <w:t>Deferred Inflows of Resources and Deferred Outflows of Resources—Omnibus:</w:t>
      </w:r>
      <w:r w:rsidRPr="004A2BD0">
        <w:rPr>
          <w:rFonts w:ascii="Times New Roman" w:hAnsi="Times New Roman" w:cs="Times New Roman"/>
          <w:sz w:val="24"/>
          <w:szCs w:val="24"/>
        </w:rPr>
        <w:t xml:space="preserve"> The objectives of this project are to (1) identify requirements in the existing authoritative literature to recognize balances that appear to meet the definitions of deferred outflows of resources or deferred inflows of resources and (2) determine whether those balances should continue to be recognized as assets or liabilities, be reclassified as deferred outflows and deferred inflows, or be recognized as revenue or expenses/expenditures for financial reporting purposes. An Exposure Draft is planned for issuance in July 2011. </w:t>
      </w:r>
    </w:p>
    <w:p w:rsidR="00E81E6D" w:rsidRDefault="00E81E6D" w:rsidP="004A2BD0">
      <w:pPr>
        <w:spacing w:after="0" w:line="240" w:lineRule="auto"/>
        <w:rPr>
          <w:rFonts w:ascii="Times New Roman" w:hAnsi="Times New Roman" w:cs="Times New Roman"/>
          <w:sz w:val="24"/>
          <w:szCs w:val="24"/>
        </w:rPr>
      </w:pPr>
    </w:p>
    <w:p w:rsidR="004A2BD0" w:rsidRPr="004A2BD0" w:rsidRDefault="004A2BD0" w:rsidP="004A2BD0">
      <w:pPr>
        <w:spacing w:after="0" w:line="240" w:lineRule="auto"/>
        <w:rPr>
          <w:rFonts w:ascii="Times New Roman" w:hAnsi="Times New Roman" w:cs="Times New Roman"/>
          <w:sz w:val="24"/>
          <w:szCs w:val="24"/>
        </w:rPr>
      </w:pPr>
      <w:r w:rsidRPr="00E81E6D">
        <w:rPr>
          <w:rFonts w:ascii="Times New Roman" w:hAnsi="Times New Roman" w:cs="Times New Roman"/>
          <w:b/>
          <w:i/>
          <w:color w:val="7F7F7F" w:themeColor="text1" w:themeTint="80"/>
          <w:sz w:val="24"/>
          <w:szCs w:val="24"/>
        </w:rPr>
        <w:t>Derivatives: Application of Termination Provisions:</w:t>
      </w:r>
      <w:r w:rsidRPr="004A2BD0">
        <w:rPr>
          <w:rFonts w:ascii="Times New Roman" w:hAnsi="Times New Roman" w:cs="Times New Roman"/>
          <w:sz w:val="24"/>
          <w:szCs w:val="24"/>
        </w:rPr>
        <w:t xml:space="preserve"> The objective of this project is to clarify when the termination provisions in Statement No. 53, </w:t>
      </w:r>
      <w:r w:rsidRPr="00E81E6D">
        <w:rPr>
          <w:rFonts w:ascii="Times New Roman" w:hAnsi="Times New Roman" w:cs="Times New Roman"/>
          <w:i/>
          <w:sz w:val="24"/>
          <w:szCs w:val="24"/>
        </w:rPr>
        <w:t>Accounting and Financial Reporting for Derivative Instruments,</w:t>
      </w:r>
      <w:r w:rsidRPr="004A2BD0">
        <w:rPr>
          <w:rFonts w:ascii="Times New Roman" w:hAnsi="Times New Roman" w:cs="Times New Roman"/>
          <w:sz w:val="24"/>
          <w:szCs w:val="24"/>
        </w:rPr>
        <w:t xml:space="preserve"> apply in situations where a default event under the terms of the swap agreement occurs related to the counterparty for an interest rate swap. The comment period on the January 2011 Exposure Draft concluded in April. The Board will redeliberate issues based on public comment in May. Approval of a final Statement is planned for June 2011.</w:t>
      </w:r>
    </w:p>
    <w:p w:rsidR="00E81E6D" w:rsidRDefault="00E81E6D" w:rsidP="004A2BD0">
      <w:pPr>
        <w:spacing w:after="0" w:line="240" w:lineRule="auto"/>
        <w:rPr>
          <w:rFonts w:ascii="Times New Roman" w:hAnsi="Times New Roman" w:cs="Times New Roman"/>
          <w:sz w:val="24"/>
          <w:szCs w:val="24"/>
        </w:rPr>
      </w:pPr>
    </w:p>
    <w:p w:rsidR="004A2BD0" w:rsidRPr="004A2BD0" w:rsidRDefault="004A2BD0" w:rsidP="004A2BD0">
      <w:pPr>
        <w:spacing w:after="0" w:line="240" w:lineRule="auto"/>
        <w:rPr>
          <w:rFonts w:ascii="Times New Roman" w:hAnsi="Times New Roman" w:cs="Times New Roman"/>
          <w:sz w:val="24"/>
          <w:szCs w:val="24"/>
        </w:rPr>
      </w:pPr>
      <w:r w:rsidRPr="00E81E6D">
        <w:rPr>
          <w:rFonts w:ascii="Times New Roman" w:hAnsi="Times New Roman" w:cs="Times New Roman"/>
          <w:b/>
          <w:i/>
          <w:color w:val="7F7F7F" w:themeColor="text1" w:themeTint="80"/>
          <w:sz w:val="24"/>
          <w:szCs w:val="24"/>
        </w:rPr>
        <w:lastRenderedPageBreak/>
        <w:t>Statement of Net Position:</w:t>
      </w:r>
      <w:r w:rsidRPr="004A2BD0">
        <w:rPr>
          <w:rFonts w:ascii="Times New Roman" w:hAnsi="Times New Roman" w:cs="Times New Roman"/>
          <w:sz w:val="24"/>
          <w:szCs w:val="24"/>
        </w:rPr>
        <w:t xml:space="preserve"> The objectives of this project are to develop guidance for the display of deferred inflows and deferred outflows of resources in the financial statements, and to consider the effects of the related changes on other elements presented in a statement of financial position. The project would determine what amendments, if any, should be made to the requirements of Statement No. 34, </w:t>
      </w:r>
      <w:r w:rsidRPr="00E81E6D">
        <w:rPr>
          <w:rFonts w:ascii="Times New Roman" w:hAnsi="Times New Roman" w:cs="Times New Roman"/>
          <w:i/>
          <w:sz w:val="24"/>
          <w:szCs w:val="24"/>
        </w:rPr>
        <w:t>Basic Financial Statements—and Management’s Discussion and Analysis—for State and Local Governments.</w:t>
      </w:r>
      <w:r w:rsidRPr="004A2BD0">
        <w:rPr>
          <w:rFonts w:ascii="Times New Roman" w:hAnsi="Times New Roman" w:cs="Times New Roman"/>
          <w:sz w:val="24"/>
          <w:szCs w:val="24"/>
        </w:rPr>
        <w:t xml:space="preserve"> The comment period on the November 2010 Exposure Draft concluded in February. Approval of a final Statement is planned for June 2011.</w:t>
      </w:r>
    </w:p>
    <w:p w:rsidR="00E81E6D" w:rsidRDefault="00E81E6D" w:rsidP="004A2BD0">
      <w:pPr>
        <w:spacing w:after="0" w:line="240" w:lineRule="auto"/>
        <w:rPr>
          <w:rFonts w:ascii="Times New Roman" w:hAnsi="Times New Roman" w:cs="Times New Roman"/>
          <w:sz w:val="24"/>
          <w:szCs w:val="24"/>
        </w:rPr>
      </w:pPr>
    </w:p>
    <w:p w:rsidR="004A2BD0" w:rsidRDefault="004A2BD0" w:rsidP="004A2BD0">
      <w:pPr>
        <w:spacing w:after="0" w:line="240" w:lineRule="auto"/>
        <w:rPr>
          <w:rFonts w:ascii="Times New Roman" w:hAnsi="Times New Roman" w:cs="Times New Roman"/>
          <w:sz w:val="24"/>
          <w:szCs w:val="24"/>
        </w:rPr>
      </w:pPr>
      <w:r w:rsidRPr="00E81E6D">
        <w:rPr>
          <w:rFonts w:ascii="Times New Roman" w:hAnsi="Times New Roman" w:cs="Times New Roman"/>
          <w:b/>
          <w:i/>
          <w:color w:val="7F7F7F" w:themeColor="text1" w:themeTint="80"/>
          <w:sz w:val="24"/>
          <w:szCs w:val="24"/>
        </w:rPr>
        <w:t>The User Guide Series:</w:t>
      </w:r>
      <w:r w:rsidRPr="004A2BD0">
        <w:rPr>
          <w:rFonts w:ascii="Times New Roman" w:hAnsi="Times New Roman" w:cs="Times New Roman"/>
          <w:sz w:val="24"/>
          <w:szCs w:val="24"/>
        </w:rPr>
        <w:t xml:space="preserve"> The objective of this project is to update the GASB’s User Guide Series to address accounting and financial reporting standards issued since the publication of the original guides, which was several years ago in some cases. The updated guide on local governments is scheduled for publication in July 2011. The analyst’s guide is scheduled for publication in July, and the school district guide and the guide on business-type activities are scheduled for publication in September.</w:t>
      </w:r>
    </w:p>
    <w:p w:rsidR="00E81E6D" w:rsidRPr="004A2BD0" w:rsidRDefault="00E81E6D" w:rsidP="004A2BD0">
      <w:pPr>
        <w:spacing w:after="0" w:line="240" w:lineRule="auto"/>
        <w:rPr>
          <w:rFonts w:ascii="Times New Roman" w:hAnsi="Times New Roman" w:cs="Times New Roman"/>
          <w:sz w:val="24"/>
          <w:szCs w:val="24"/>
        </w:rPr>
      </w:pPr>
    </w:p>
    <w:p w:rsidR="004A2BD0" w:rsidRPr="00E81E6D" w:rsidRDefault="004A2BD0" w:rsidP="004A2BD0">
      <w:pPr>
        <w:spacing w:after="0" w:line="240" w:lineRule="auto"/>
        <w:rPr>
          <w:rFonts w:ascii="Times New Roman" w:hAnsi="Times New Roman" w:cs="Times New Roman"/>
          <w:b/>
          <w:i/>
          <w:sz w:val="28"/>
          <w:szCs w:val="28"/>
        </w:rPr>
      </w:pPr>
      <w:r w:rsidRPr="00E81E6D">
        <w:rPr>
          <w:rFonts w:ascii="Times New Roman" w:hAnsi="Times New Roman" w:cs="Times New Roman"/>
          <w:b/>
          <w:i/>
          <w:sz w:val="28"/>
          <w:szCs w:val="28"/>
        </w:rPr>
        <w:t>Research Projects</w:t>
      </w:r>
    </w:p>
    <w:p w:rsidR="00E81E6D" w:rsidRDefault="00E81E6D" w:rsidP="004A2BD0">
      <w:pPr>
        <w:spacing w:after="0" w:line="240" w:lineRule="auto"/>
        <w:rPr>
          <w:rFonts w:ascii="Times New Roman" w:hAnsi="Times New Roman" w:cs="Times New Roman"/>
          <w:sz w:val="24"/>
          <w:szCs w:val="24"/>
        </w:rPr>
      </w:pPr>
    </w:p>
    <w:p w:rsidR="004A2BD0" w:rsidRPr="004A2BD0" w:rsidRDefault="004A2BD0" w:rsidP="004A2BD0">
      <w:pPr>
        <w:spacing w:after="0" w:line="240" w:lineRule="auto"/>
        <w:rPr>
          <w:rFonts w:ascii="Times New Roman" w:hAnsi="Times New Roman" w:cs="Times New Roman"/>
          <w:sz w:val="24"/>
          <w:szCs w:val="24"/>
        </w:rPr>
      </w:pPr>
      <w:r w:rsidRPr="00E81E6D">
        <w:rPr>
          <w:rFonts w:ascii="Times New Roman" w:hAnsi="Times New Roman" w:cs="Times New Roman"/>
          <w:b/>
          <w:i/>
          <w:color w:val="7F7F7F" w:themeColor="text1" w:themeTint="80"/>
          <w:sz w:val="24"/>
          <w:szCs w:val="24"/>
        </w:rPr>
        <w:t>Electronic Financial Reporting:</w:t>
      </w:r>
      <w:r w:rsidRPr="004A2BD0">
        <w:rPr>
          <w:rFonts w:ascii="Times New Roman" w:hAnsi="Times New Roman" w:cs="Times New Roman"/>
          <w:sz w:val="24"/>
          <w:szCs w:val="24"/>
        </w:rPr>
        <w:t xml:space="preserve"> The objective of this research project is to monitor the effect of electronic media on information delivery and user needs. Research into the evolving state of the art in electronic financial reporting by state and local governments will provide the Board with a basis for evaluating the need to develop standards for financial reports intended for this medium.</w:t>
      </w:r>
    </w:p>
    <w:p w:rsidR="00E81E6D" w:rsidRDefault="00E81E6D" w:rsidP="004A2BD0">
      <w:pPr>
        <w:spacing w:after="0" w:line="240" w:lineRule="auto"/>
        <w:rPr>
          <w:rFonts w:ascii="Times New Roman" w:hAnsi="Times New Roman" w:cs="Times New Roman"/>
          <w:sz w:val="24"/>
          <w:szCs w:val="24"/>
        </w:rPr>
      </w:pPr>
    </w:p>
    <w:p w:rsidR="004A2BD0" w:rsidRPr="004A2BD0" w:rsidRDefault="004A2BD0" w:rsidP="004A2BD0">
      <w:pPr>
        <w:spacing w:after="0" w:line="240" w:lineRule="auto"/>
        <w:rPr>
          <w:rFonts w:ascii="Times New Roman" w:hAnsi="Times New Roman" w:cs="Times New Roman"/>
          <w:sz w:val="24"/>
          <w:szCs w:val="24"/>
        </w:rPr>
      </w:pPr>
      <w:r w:rsidRPr="00E81E6D">
        <w:rPr>
          <w:rFonts w:ascii="Times New Roman" w:hAnsi="Times New Roman" w:cs="Times New Roman"/>
          <w:b/>
          <w:i/>
          <w:color w:val="7F7F7F" w:themeColor="text1" w:themeTint="80"/>
          <w:sz w:val="24"/>
          <w:szCs w:val="24"/>
        </w:rPr>
        <w:t>Fair Value Measurements:</w:t>
      </w:r>
      <w:r w:rsidRPr="004A2BD0">
        <w:rPr>
          <w:rFonts w:ascii="Times New Roman" w:hAnsi="Times New Roman" w:cs="Times New Roman"/>
          <w:sz w:val="24"/>
          <w:szCs w:val="24"/>
        </w:rPr>
        <w:t xml:space="preserve"> The objective of this research project is to review and consider alternatives for the further development of the definition of fair value, the methods used to measure fair value, and the potential disclosures about fair value measurements. Within this review, specific issues including fair value measurement of alternative investments, such as private placements and hedge funds, real estate investment trusts, and partnership interests are to be addressed.</w:t>
      </w:r>
    </w:p>
    <w:p w:rsidR="00E81E6D" w:rsidRDefault="00E81E6D" w:rsidP="004A2BD0">
      <w:pPr>
        <w:spacing w:after="0" w:line="240" w:lineRule="auto"/>
        <w:rPr>
          <w:rFonts w:ascii="Times New Roman" w:hAnsi="Times New Roman" w:cs="Times New Roman"/>
          <w:sz w:val="24"/>
          <w:szCs w:val="24"/>
        </w:rPr>
      </w:pPr>
    </w:p>
    <w:p w:rsidR="004A2BD0" w:rsidRPr="004A2BD0" w:rsidRDefault="004A2BD0" w:rsidP="004A2BD0">
      <w:pPr>
        <w:spacing w:after="0" w:line="240" w:lineRule="auto"/>
        <w:rPr>
          <w:rFonts w:ascii="Times New Roman" w:hAnsi="Times New Roman" w:cs="Times New Roman"/>
          <w:sz w:val="24"/>
          <w:szCs w:val="24"/>
        </w:rPr>
      </w:pPr>
      <w:r w:rsidRPr="00E81E6D">
        <w:rPr>
          <w:rFonts w:ascii="Times New Roman" w:hAnsi="Times New Roman" w:cs="Times New Roman"/>
          <w:b/>
          <w:i/>
          <w:color w:val="7F7F7F" w:themeColor="text1" w:themeTint="80"/>
          <w:sz w:val="24"/>
          <w:szCs w:val="24"/>
        </w:rPr>
        <w:t>Fiduciary Responsibilities:</w:t>
      </w:r>
      <w:r w:rsidRPr="004A2BD0">
        <w:rPr>
          <w:rFonts w:ascii="Times New Roman" w:hAnsi="Times New Roman" w:cs="Times New Roman"/>
          <w:sz w:val="24"/>
          <w:szCs w:val="24"/>
        </w:rPr>
        <w:t xml:space="preserve"> The objective of this research project is to assess whether additional guidance should be developed regarding the application of the </w:t>
      </w:r>
      <w:r w:rsidRPr="00E81E6D">
        <w:rPr>
          <w:rFonts w:ascii="Times New Roman" w:hAnsi="Times New Roman" w:cs="Times New Roman"/>
          <w:i/>
          <w:sz w:val="24"/>
          <w:szCs w:val="24"/>
        </w:rPr>
        <w:t>fiduciary responsibility</w:t>
      </w:r>
      <w:r w:rsidRPr="004A2BD0">
        <w:rPr>
          <w:rFonts w:ascii="Times New Roman" w:hAnsi="Times New Roman" w:cs="Times New Roman"/>
          <w:sz w:val="24"/>
          <w:szCs w:val="24"/>
        </w:rPr>
        <w:t xml:space="preserve"> criterion in deciding whether and how governments should report fiduciary activities in their financial reports. Existing standards do not provide a basis for a clear answer to those questions and thus there has been diversity regarding the interpretation of governments’ fiduciary responsibilities.</w:t>
      </w:r>
    </w:p>
    <w:p w:rsidR="00E81E6D" w:rsidRDefault="00E81E6D" w:rsidP="004A2BD0">
      <w:pPr>
        <w:spacing w:after="0" w:line="240" w:lineRule="auto"/>
        <w:rPr>
          <w:rFonts w:ascii="Times New Roman" w:hAnsi="Times New Roman" w:cs="Times New Roman"/>
          <w:sz w:val="24"/>
          <w:szCs w:val="24"/>
        </w:rPr>
      </w:pPr>
    </w:p>
    <w:p w:rsidR="004A2BD0" w:rsidRPr="004A2BD0" w:rsidRDefault="004A2BD0" w:rsidP="004A2BD0">
      <w:pPr>
        <w:spacing w:after="0" w:line="240" w:lineRule="auto"/>
        <w:rPr>
          <w:rFonts w:ascii="Times New Roman" w:hAnsi="Times New Roman" w:cs="Times New Roman"/>
          <w:sz w:val="24"/>
          <w:szCs w:val="24"/>
        </w:rPr>
      </w:pPr>
      <w:r w:rsidRPr="00E81E6D">
        <w:rPr>
          <w:rFonts w:ascii="Times New Roman" w:hAnsi="Times New Roman" w:cs="Times New Roman"/>
          <w:b/>
          <w:i/>
          <w:color w:val="7F7F7F" w:themeColor="text1" w:themeTint="80"/>
          <w:sz w:val="24"/>
          <w:szCs w:val="24"/>
        </w:rPr>
        <w:t>GAAP Hierarchy:</w:t>
      </w:r>
      <w:r w:rsidRPr="004A2BD0">
        <w:rPr>
          <w:rFonts w:ascii="Times New Roman" w:hAnsi="Times New Roman" w:cs="Times New Roman"/>
          <w:sz w:val="24"/>
          <w:szCs w:val="24"/>
        </w:rPr>
        <w:t xml:space="preserve"> The objective of this research project is to consider possible modifications to the GAAP hierarchy, as set forth in Statement No. 55, </w:t>
      </w:r>
      <w:r w:rsidRPr="00E81E6D">
        <w:rPr>
          <w:rFonts w:ascii="Times New Roman" w:hAnsi="Times New Roman" w:cs="Times New Roman"/>
          <w:i/>
          <w:sz w:val="24"/>
          <w:szCs w:val="24"/>
        </w:rPr>
        <w:t xml:space="preserve">The Hierarchy of Generally Accepted Accounting Principles for State and Local Governments. </w:t>
      </w:r>
      <w:r w:rsidRPr="004A2BD0">
        <w:rPr>
          <w:rFonts w:ascii="Times New Roman" w:hAnsi="Times New Roman" w:cs="Times New Roman"/>
          <w:sz w:val="24"/>
          <w:szCs w:val="24"/>
        </w:rPr>
        <w:t>It will reexamine the hierarchy levels to assess whether the standards-setting process and governmental financial reporting have sufficiently evolved since the establishment of the original hierarchy by the American Institute of Certified Public Accountants in 1992 to warrant reconsideration or reconfiguration of certain aspects of the structure.</w:t>
      </w:r>
    </w:p>
    <w:p w:rsidR="00E81E6D" w:rsidRDefault="00E81E6D" w:rsidP="004A2BD0">
      <w:pPr>
        <w:spacing w:after="0" w:line="240" w:lineRule="auto"/>
        <w:rPr>
          <w:rFonts w:ascii="Times New Roman" w:hAnsi="Times New Roman" w:cs="Times New Roman"/>
          <w:sz w:val="24"/>
          <w:szCs w:val="24"/>
        </w:rPr>
      </w:pPr>
    </w:p>
    <w:p w:rsidR="004A2BD0" w:rsidRPr="004A2BD0" w:rsidRDefault="004A2BD0" w:rsidP="004A2BD0">
      <w:pPr>
        <w:spacing w:after="0" w:line="240" w:lineRule="auto"/>
        <w:rPr>
          <w:rFonts w:ascii="Times New Roman" w:hAnsi="Times New Roman" w:cs="Times New Roman"/>
          <w:sz w:val="24"/>
          <w:szCs w:val="24"/>
        </w:rPr>
      </w:pPr>
      <w:r w:rsidRPr="00E81E6D">
        <w:rPr>
          <w:rFonts w:ascii="Times New Roman" w:hAnsi="Times New Roman" w:cs="Times New Roman"/>
          <w:b/>
          <w:i/>
          <w:color w:val="7F7F7F" w:themeColor="text1" w:themeTint="80"/>
          <w:sz w:val="24"/>
          <w:szCs w:val="24"/>
        </w:rPr>
        <w:t>Lease Accounting:</w:t>
      </w:r>
      <w:r w:rsidRPr="004A2BD0">
        <w:rPr>
          <w:rFonts w:ascii="Times New Roman" w:hAnsi="Times New Roman" w:cs="Times New Roman"/>
          <w:sz w:val="24"/>
          <w:szCs w:val="24"/>
        </w:rPr>
        <w:t xml:space="preserve"> The objective of this research project is the reexamination of issues associated with lease accounting and consideration of improvements to existing guidance.</w:t>
      </w:r>
    </w:p>
    <w:p w:rsidR="00E64C71" w:rsidRDefault="00E64C71">
      <w:pPr>
        <w:rPr>
          <w:rFonts w:ascii="Times New Roman" w:hAnsi="Times New Roman" w:cs="Times New Roman"/>
          <w:sz w:val="24"/>
          <w:szCs w:val="24"/>
        </w:rPr>
      </w:pPr>
      <w:r>
        <w:rPr>
          <w:rFonts w:ascii="Times New Roman" w:hAnsi="Times New Roman" w:cs="Times New Roman"/>
          <w:sz w:val="24"/>
          <w:szCs w:val="24"/>
        </w:rPr>
        <w:br w:type="page"/>
      </w:r>
    </w:p>
    <w:p w:rsidR="004A2BD0" w:rsidRPr="00E81E6D" w:rsidRDefault="004A2BD0" w:rsidP="004A2BD0">
      <w:pPr>
        <w:spacing w:after="0" w:line="240" w:lineRule="auto"/>
        <w:rPr>
          <w:rFonts w:ascii="Times New Roman" w:hAnsi="Times New Roman" w:cs="Times New Roman"/>
          <w:b/>
          <w:i/>
          <w:sz w:val="32"/>
          <w:szCs w:val="32"/>
        </w:rPr>
      </w:pPr>
      <w:r w:rsidRPr="00E81E6D">
        <w:rPr>
          <w:rFonts w:ascii="Times New Roman" w:hAnsi="Times New Roman" w:cs="Times New Roman"/>
          <w:b/>
          <w:i/>
          <w:sz w:val="32"/>
          <w:szCs w:val="32"/>
        </w:rPr>
        <w:lastRenderedPageBreak/>
        <w:t>AICPA Issues Draft Guide on Health Care Entities</w:t>
      </w:r>
    </w:p>
    <w:p w:rsidR="004A2BD0" w:rsidRPr="004A2BD0" w:rsidRDefault="004A2BD0" w:rsidP="004A2BD0">
      <w:pPr>
        <w:spacing w:after="0" w:line="240" w:lineRule="auto"/>
        <w:rPr>
          <w:rFonts w:ascii="Times New Roman" w:hAnsi="Times New Roman" w:cs="Times New Roman"/>
          <w:sz w:val="24"/>
          <w:szCs w:val="24"/>
        </w:rPr>
      </w:pPr>
    </w:p>
    <w:p w:rsid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 xml:space="preserve">The AICPA has issued a working draft of its proposed Audit and Accounting Guide, </w:t>
      </w:r>
      <w:r w:rsidRPr="00E81E6D">
        <w:rPr>
          <w:rFonts w:ascii="Times New Roman" w:hAnsi="Times New Roman" w:cs="Times New Roman"/>
          <w:i/>
          <w:sz w:val="24"/>
          <w:szCs w:val="24"/>
        </w:rPr>
        <w:t>Health Care Entities,</w:t>
      </w:r>
      <w:r w:rsidRPr="004A2BD0">
        <w:rPr>
          <w:rFonts w:ascii="Times New Roman" w:hAnsi="Times New Roman" w:cs="Times New Roman"/>
          <w:sz w:val="24"/>
          <w:szCs w:val="24"/>
        </w:rPr>
        <w:t xml:space="preserve"> which was developed by the AICPA Health Care Expert Panel and the Health Care Audit and Accounting Guide Overhaul Task Force. The first comprehensive revision of the guide since 1996, the working guide provides guidance to assist management in the preparation of financial statements and to assist auditors in auditing and reporting on such financial statements.</w:t>
      </w:r>
    </w:p>
    <w:p w:rsidR="00A73358" w:rsidRPr="004A2BD0" w:rsidRDefault="00A73358" w:rsidP="004A2BD0">
      <w:pPr>
        <w:spacing w:after="0" w:line="240" w:lineRule="auto"/>
        <w:rPr>
          <w:rFonts w:ascii="Times New Roman" w:hAnsi="Times New Roman" w:cs="Times New Roman"/>
          <w:sz w:val="24"/>
          <w:szCs w:val="24"/>
        </w:rPr>
      </w:pPr>
    </w:p>
    <w:p w:rsid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The working draft includes a new chapter on unique considerations of state and local governmental health care entities. This chapter was cleared by the Governmental Accounting Standards Board. Additional new information in the working draft includes expanded discussions on health care industry specific topics, including medical malpractice claims, patient receivables, and revenue recognition.</w:t>
      </w:r>
    </w:p>
    <w:p w:rsidR="00A73358" w:rsidRPr="004A2BD0" w:rsidRDefault="00A73358" w:rsidP="004A2BD0">
      <w:pPr>
        <w:spacing w:after="0" w:line="240" w:lineRule="auto"/>
        <w:rPr>
          <w:rFonts w:ascii="Times New Roman" w:hAnsi="Times New Roman" w:cs="Times New Roman"/>
          <w:sz w:val="24"/>
          <w:szCs w:val="24"/>
        </w:rPr>
      </w:pPr>
    </w:p>
    <w:p w:rsidR="004A2BD0" w:rsidRP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The working draft is intended to solicit comments from preparers, auditors, and users of financial statements and other interested parties to further inform the development of this guide, which will be issued once comments are received, considered, and appropriately acted upon. The working draft is available at: http://bit.ly/AICPAWorkingDraft. The comment deadline is June 6, 2011.</w:t>
      </w:r>
    </w:p>
    <w:p w:rsidR="004A2BD0" w:rsidRPr="004A2BD0" w:rsidRDefault="004A2BD0" w:rsidP="004A2BD0">
      <w:pPr>
        <w:spacing w:after="0" w:line="240" w:lineRule="auto"/>
        <w:rPr>
          <w:rFonts w:ascii="Times New Roman" w:hAnsi="Times New Roman" w:cs="Times New Roman"/>
          <w:sz w:val="24"/>
          <w:szCs w:val="24"/>
        </w:rPr>
      </w:pPr>
    </w:p>
    <w:p w:rsidR="004A2BD0" w:rsidRPr="004A2BD0" w:rsidRDefault="004A2BD0" w:rsidP="004A2BD0">
      <w:pPr>
        <w:spacing w:after="0" w:line="240" w:lineRule="auto"/>
        <w:rPr>
          <w:rFonts w:ascii="Times New Roman" w:hAnsi="Times New Roman" w:cs="Times New Roman"/>
          <w:sz w:val="24"/>
          <w:szCs w:val="24"/>
        </w:rPr>
      </w:pPr>
    </w:p>
    <w:p w:rsidR="004A2BD0" w:rsidRPr="004A2BD0" w:rsidRDefault="004A2BD0" w:rsidP="004A2BD0">
      <w:pPr>
        <w:spacing w:after="0" w:line="240" w:lineRule="auto"/>
        <w:rPr>
          <w:rFonts w:ascii="Times New Roman" w:hAnsi="Times New Roman" w:cs="Times New Roman"/>
          <w:sz w:val="24"/>
          <w:szCs w:val="24"/>
        </w:rPr>
      </w:pPr>
    </w:p>
    <w:p w:rsidR="004A2BD0" w:rsidRPr="004A2BD0" w:rsidRDefault="004A2BD0" w:rsidP="004A2BD0">
      <w:pPr>
        <w:spacing w:after="0" w:line="240" w:lineRule="auto"/>
        <w:rPr>
          <w:rFonts w:ascii="Times New Roman" w:hAnsi="Times New Roman" w:cs="Times New Roman"/>
          <w:sz w:val="24"/>
          <w:szCs w:val="24"/>
        </w:rPr>
      </w:pPr>
    </w:p>
    <w:p w:rsidR="004A2BD0" w:rsidRPr="004A2BD0" w:rsidRDefault="004A2BD0" w:rsidP="004A2BD0">
      <w:pPr>
        <w:spacing w:after="0" w:line="240" w:lineRule="auto"/>
        <w:rPr>
          <w:rFonts w:ascii="Times New Roman" w:hAnsi="Times New Roman" w:cs="Times New Roman"/>
          <w:sz w:val="24"/>
          <w:szCs w:val="24"/>
        </w:rPr>
      </w:pPr>
    </w:p>
    <w:p w:rsidR="004A2BD0" w:rsidRPr="00E81E6D" w:rsidRDefault="004A2BD0" w:rsidP="004A2BD0">
      <w:pPr>
        <w:spacing w:after="0" w:line="240" w:lineRule="auto"/>
        <w:rPr>
          <w:rFonts w:ascii="Times New Roman" w:hAnsi="Times New Roman" w:cs="Times New Roman"/>
          <w:b/>
          <w:i/>
          <w:sz w:val="32"/>
          <w:szCs w:val="32"/>
        </w:rPr>
      </w:pPr>
      <w:r w:rsidRPr="00E81E6D">
        <w:rPr>
          <w:rFonts w:ascii="Times New Roman" w:hAnsi="Times New Roman" w:cs="Times New Roman"/>
          <w:b/>
          <w:i/>
          <w:sz w:val="32"/>
          <w:szCs w:val="32"/>
        </w:rPr>
        <w:t>The GASB Report</w:t>
      </w:r>
    </w:p>
    <w:p w:rsidR="004A2BD0" w:rsidRPr="004A2BD0" w:rsidRDefault="004A2BD0" w:rsidP="004A2BD0">
      <w:pPr>
        <w:spacing w:after="0" w:line="240" w:lineRule="auto"/>
        <w:rPr>
          <w:rFonts w:ascii="Times New Roman" w:hAnsi="Times New Roman" w:cs="Times New Roman"/>
          <w:sz w:val="24"/>
          <w:szCs w:val="24"/>
        </w:rPr>
      </w:pPr>
    </w:p>
    <w:p w:rsidR="004A2BD0" w:rsidRP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 xml:space="preserve">The GASB welcomes feedback on </w:t>
      </w:r>
      <w:r w:rsidRPr="00E81E6D">
        <w:rPr>
          <w:rFonts w:ascii="Times New Roman" w:hAnsi="Times New Roman" w:cs="Times New Roman"/>
          <w:i/>
          <w:sz w:val="24"/>
          <w:szCs w:val="24"/>
        </w:rPr>
        <w:t>The GASB Report.</w:t>
      </w:r>
    </w:p>
    <w:p w:rsidR="004A2BD0" w:rsidRP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Managing Editor: Christine L. Klimek</w:t>
      </w:r>
    </w:p>
    <w:p w:rsidR="004A2BD0" w:rsidRP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 xml:space="preserve">E-mail: </w:t>
      </w:r>
      <w:hyperlink r:id="rId4" w:history="1">
        <w:r w:rsidRPr="004A2BD0">
          <w:rPr>
            <w:rStyle w:val="Hyperlink"/>
            <w:rFonts w:ascii="Times New Roman" w:hAnsi="Times New Roman" w:cs="Times New Roman"/>
            <w:sz w:val="24"/>
            <w:szCs w:val="24"/>
          </w:rPr>
          <w:t>clklimek@f-a-f.org</w:t>
        </w:r>
      </w:hyperlink>
    </w:p>
    <w:p w:rsidR="004A2BD0" w:rsidRP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Editor: Kip Betz</w:t>
      </w:r>
    </w:p>
    <w:p w:rsidR="004A2BD0" w:rsidRP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E-mail: jcbetz@gasb.org</w:t>
      </w:r>
    </w:p>
    <w:p w:rsidR="004A2BD0" w:rsidRP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Write: 401 Merritt 7, PO Box 5116, Norwalk, CT 06856-5116</w:t>
      </w:r>
    </w:p>
    <w:p w:rsidR="004A2BD0" w:rsidRP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Telephone: (203) 847-0700</w:t>
      </w:r>
    </w:p>
    <w:p w:rsidR="004A2BD0" w:rsidRP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GASB website address: www.gasb.org</w:t>
      </w:r>
    </w:p>
    <w:p w:rsidR="00E81E6D" w:rsidRDefault="00E81E6D" w:rsidP="004A2BD0">
      <w:pPr>
        <w:spacing w:after="0" w:line="240" w:lineRule="auto"/>
        <w:rPr>
          <w:rFonts w:ascii="Times New Roman" w:hAnsi="Times New Roman" w:cs="Times New Roman"/>
          <w:sz w:val="24"/>
          <w:szCs w:val="24"/>
        </w:rPr>
      </w:pPr>
    </w:p>
    <w:p w:rsidR="004A2BD0" w:rsidRPr="00E81E6D" w:rsidRDefault="004A2BD0" w:rsidP="004A2BD0">
      <w:pPr>
        <w:spacing w:after="0" w:line="240" w:lineRule="auto"/>
        <w:rPr>
          <w:rFonts w:ascii="Times New Roman" w:hAnsi="Times New Roman" w:cs="Times New Roman"/>
          <w:b/>
          <w:i/>
          <w:sz w:val="24"/>
          <w:szCs w:val="24"/>
        </w:rPr>
      </w:pPr>
      <w:r w:rsidRPr="00E81E6D">
        <w:rPr>
          <w:rFonts w:ascii="Times New Roman" w:hAnsi="Times New Roman" w:cs="Times New Roman"/>
          <w:b/>
          <w:i/>
          <w:sz w:val="24"/>
          <w:szCs w:val="24"/>
        </w:rPr>
        <w:t>Subscription questions and address changes:</w:t>
      </w:r>
    </w:p>
    <w:p w:rsidR="004A2BD0" w:rsidRP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Barbara Diliberto</w:t>
      </w:r>
    </w:p>
    <w:p w:rsidR="004A2BD0" w:rsidRP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E-mail: bldiliberto-=-=@f-a-f.org</w:t>
      </w:r>
    </w:p>
    <w:p w:rsidR="004A2BD0" w:rsidRP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Fax: (203) 847-6045</w:t>
      </w:r>
    </w:p>
    <w:p w:rsidR="00E81E6D" w:rsidRDefault="00E81E6D" w:rsidP="004A2BD0">
      <w:pPr>
        <w:spacing w:after="0" w:line="240" w:lineRule="auto"/>
        <w:rPr>
          <w:rFonts w:ascii="Times New Roman" w:hAnsi="Times New Roman" w:cs="Times New Roman"/>
          <w:sz w:val="24"/>
          <w:szCs w:val="24"/>
        </w:rPr>
      </w:pPr>
    </w:p>
    <w:p w:rsidR="004A2BD0" w:rsidRPr="00E81E6D" w:rsidRDefault="004A2BD0" w:rsidP="004A2BD0">
      <w:pPr>
        <w:spacing w:after="0" w:line="240" w:lineRule="auto"/>
        <w:rPr>
          <w:rFonts w:ascii="Times New Roman" w:hAnsi="Times New Roman" w:cs="Times New Roman"/>
          <w:b/>
          <w:i/>
          <w:sz w:val="24"/>
          <w:szCs w:val="24"/>
        </w:rPr>
      </w:pPr>
      <w:r w:rsidRPr="00E81E6D">
        <w:rPr>
          <w:rFonts w:ascii="Times New Roman" w:hAnsi="Times New Roman" w:cs="Times New Roman"/>
          <w:b/>
          <w:i/>
          <w:sz w:val="24"/>
          <w:szCs w:val="24"/>
        </w:rPr>
        <w:t>To order GASB publications:</w:t>
      </w:r>
    </w:p>
    <w:p w:rsidR="004A2BD0" w:rsidRPr="004A2BD0" w:rsidRDefault="004A2BD0" w:rsidP="004A2BD0">
      <w:pPr>
        <w:spacing w:after="0" w:line="240" w:lineRule="auto"/>
        <w:rPr>
          <w:rFonts w:ascii="Times New Roman" w:hAnsi="Times New Roman" w:cs="Times New Roman"/>
          <w:sz w:val="24"/>
          <w:szCs w:val="24"/>
        </w:rPr>
      </w:pPr>
      <w:r w:rsidRPr="004A2BD0">
        <w:rPr>
          <w:rFonts w:ascii="Times New Roman" w:hAnsi="Times New Roman" w:cs="Times New Roman"/>
          <w:sz w:val="24"/>
          <w:szCs w:val="24"/>
        </w:rPr>
        <w:t xml:space="preserve">(800) 748-0659 or </w:t>
      </w:r>
      <w:hyperlink r:id="rId5" w:history="1">
        <w:r w:rsidRPr="004A2BD0">
          <w:rPr>
            <w:rStyle w:val="Hyperlink"/>
            <w:rFonts w:ascii="Times New Roman" w:hAnsi="Times New Roman" w:cs="Times New Roman"/>
            <w:sz w:val="24"/>
            <w:szCs w:val="24"/>
          </w:rPr>
          <w:t>www.gasb.org</w:t>
        </w:r>
      </w:hyperlink>
    </w:p>
    <w:p w:rsidR="004A2BD0" w:rsidRDefault="004A2BD0" w:rsidP="004A2BD0">
      <w:pPr>
        <w:spacing w:after="0" w:line="240" w:lineRule="auto"/>
        <w:rPr>
          <w:rFonts w:ascii="Times New Roman" w:hAnsi="Times New Roman" w:cs="Times New Roman"/>
          <w:i/>
          <w:sz w:val="24"/>
          <w:szCs w:val="24"/>
        </w:rPr>
      </w:pPr>
    </w:p>
    <w:p w:rsidR="00A73358" w:rsidRPr="004A2BD0" w:rsidRDefault="00A73358" w:rsidP="004A2BD0">
      <w:pPr>
        <w:spacing w:after="0" w:line="240" w:lineRule="auto"/>
        <w:rPr>
          <w:rFonts w:ascii="Times New Roman" w:hAnsi="Times New Roman" w:cs="Times New Roman"/>
          <w:i/>
          <w:sz w:val="24"/>
          <w:szCs w:val="24"/>
        </w:rPr>
      </w:pPr>
    </w:p>
    <w:sectPr w:rsidR="00A73358" w:rsidRPr="004A2BD0" w:rsidSect="00557E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A2BD0"/>
    <w:rsid w:val="001654C6"/>
    <w:rsid w:val="001B4B72"/>
    <w:rsid w:val="0025763F"/>
    <w:rsid w:val="004A2BD0"/>
    <w:rsid w:val="00524002"/>
    <w:rsid w:val="00557EEC"/>
    <w:rsid w:val="00667AA9"/>
    <w:rsid w:val="006B68BF"/>
    <w:rsid w:val="00733AA2"/>
    <w:rsid w:val="0082376C"/>
    <w:rsid w:val="008543C4"/>
    <w:rsid w:val="0086512A"/>
    <w:rsid w:val="009A3116"/>
    <w:rsid w:val="00A4791C"/>
    <w:rsid w:val="00A73358"/>
    <w:rsid w:val="00BA503D"/>
    <w:rsid w:val="00C25CB0"/>
    <w:rsid w:val="00CA2D3D"/>
    <w:rsid w:val="00D13019"/>
    <w:rsid w:val="00D4295A"/>
    <w:rsid w:val="00E64C71"/>
    <w:rsid w:val="00E71B0E"/>
    <w:rsid w:val="00E81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E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BD0"/>
    <w:rPr>
      <w:color w:val="0000FF" w:themeColor="hyperlink"/>
      <w:u w:val="single"/>
    </w:rPr>
  </w:style>
  <w:style w:type="paragraph" w:styleId="BodyText2">
    <w:name w:val="Body Text 2"/>
    <w:basedOn w:val="Normal"/>
    <w:link w:val="BodyText2Char"/>
    <w:rsid w:val="001654C6"/>
    <w:pPr>
      <w:spacing w:after="0" w:line="240" w:lineRule="auto"/>
    </w:pPr>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1654C6"/>
    <w:rPr>
      <w:rFonts w:ascii="Times New Roman" w:eastAsia="Times New Roman" w:hAnsi="Times New Roman" w:cs="Times New Roman"/>
      <w:b/>
      <w:bCs/>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sb.org" TargetMode="External"/><Relationship Id="rId4" Type="http://schemas.openxmlformats.org/officeDocument/2006/relationships/hyperlink" Target="mailto:clklimek@f-a-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6376</Words>
  <Characters>36348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The GASB Report - April 2011</vt:lpstr>
    </vt:vector>
  </TitlesOfParts>
  <Company>Deloitte</Company>
  <LinksUpToDate>false</LinksUpToDate>
  <CharactersWithSpaces>42639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GASB Report - April 2011</dc:title>
  <dc:subject>Technical Plan Issue</dc:subject>
  <dc:creator>Castro, Diane</dc:creator>
  <cp:lastModifiedBy>Castro, Diane</cp:lastModifiedBy>
  <cp:revision>2</cp:revision>
  <cp:lastPrinted>2011-05-18T20:54:00Z</cp:lastPrinted>
  <dcterms:created xsi:type="dcterms:W3CDTF">2011-05-19T18:48:00Z</dcterms:created>
  <dcterms:modified xsi:type="dcterms:W3CDTF">2011-05-19T18:48:00Z</dcterms:modified>
</cp:coreProperties>
</file>