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B0E" w:rsidRPr="00C1468D" w:rsidRDefault="00E71B0E" w:rsidP="00E71B0E">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THE </w:t>
      </w:r>
      <w:r w:rsidRPr="00C1468D">
        <w:rPr>
          <w:rFonts w:ascii="Times New Roman" w:eastAsia="Calibri" w:hAnsi="Times New Roman" w:cs="Times New Roman"/>
          <w:b/>
          <w:i/>
          <w:sz w:val="32"/>
          <w:szCs w:val="32"/>
        </w:rPr>
        <w:t>GASB</w:t>
      </w:r>
      <w:r w:rsidRPr="00C1468D">
        <w:rPr>
          <w:rFonts w:ascii="Times New Roman" w:eastAsia="Calibri" w:hAnsi="Times New Roman" w:cs="Times New Roman"/>
          <w:i/>
          <w:sz w:val="32"/>
          <w:szCs w:val="32"/>
        </w:rPr>
        <w:t xml:space="preserve"> REPORT</w:t>
      </w:r>
    </w:p>
    <w:p w:rsidR="00E71B0E" w:rsidRPr="00C1468D" w:rsidRDefault="00E71B0E" w:rsidP="00E71B0E">
      <w:pPr>
        <w:spacing w:after="0" w:line="240" w:lineRule="auto"/>
        <w:rPr>
          <w:rFonts w:ascii="Times New Roman" w:eastAsia="Calibri" w:hAnsi="Times New Roman" w:cs="Times New Roman"/>
          <w:b/>
          <w:i/>
          <w:sz w:val="32"/>
          <w:szCs w:val="32"/>
        </w:rPr>
      </w:pPr>
      <w:r w:rsidRPr="00C1468D">
        <w:rPr>
          <w:rFonts w:ascii="Times New Roman" w:eastAsia="Calibri" w:hAnsi="Times New Roman" w:cs="Times New Roman"/>
          <w:b/>
          <w:i/>
          <w:sz w:val="32"/>
          <w:szCs w:val="32"/>
        </w:rPr>
        <w:t>Technical Plan</w:t>
      </w:r>
    </w:p>
    <w:p w:rsidR="00E71B0E" w:rsidRPr="00C1468D" w:rsidRDefault="00E71B0E" w:rsidP="00E71B0E">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No. </w:t>
      </w:r>
      <w:r>
        <w:rPr>
          <w:rFonts w:ascii="Times New Roman" w:eastAsia="Calibri" w:hAnsi="Times New Roman" w:cs="Times New Roman"/>
          <w:i/>
          <w:sz w:val="32"/>
          <w:szCs w:val="32"/>
        </w:rPr>
        <w:t>313</w:t>
      </w:r>
      <w:r w:rsidRPr="00C1468D">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April 2011</w:t>
      </w:r>
    </w:p>
    <w:p w:rsidR="00E71B0E" w:rsidRPr="00C1468D" w:rsidRDefault="00E71B0E" w:rsidP="00E71B0E">
      <w:pPr>
        <w:spacing w:after="0" w:line="240" w:lineRule="auto"/>
        <w:rPr>
          <w:rFonts w:ascii="Times New Roman" w:eastAsia="Calibri" w:hAnsi="Times New Roman" w:cs="Times New Roman"/>
          <w:i/>
          <w:sz w:val="32"/>
          <w:szCs w:val="32"/>
        </w:rPr>
      </w:pPr>
      <w:r>
        <w:rPr>
          <w:rFonts w:ascii="Times New Roman" w:eastAsia="Calibri" w:hAnsi="Times New Roman" w:cs="Times New Roman"/>
          <w:i/>
          <w:sz w:val="32"/>
          <w:szCs w:val="32"/>
        </w:rPr>
        <w:t>(The GASB Report No. 2</w:t>
      </w:r>
      <w:r>
        <w:rPr>
          <w:rFonts w:ascii="Times New Roman" w:hAnsi="Times New Roman"/>
          <w:i/>
          <w:sz w:val="32"/>
          <w:szCs w:val="32"/>
        </w:rPr>
        <w:t>75</w:t>
      </w:r>
      <w:r w:rsidRPr="00C1468D">
        <w:rPr>
          <w:rFonts w:ascii="Times New Roman" w:eastAsia="Calibri" w:hAnsi="Times New Roman" w:cs="Times New Roman"/>
          <w:i/>
          <w:sz w:val="32"/>
          <w:szCs w:val="32"/>
        </w:rPr>
        <w:t>)</w:t>
      </w:r>
    </w:p>
    <w:p w:rsidR="00E71B0E" w:rsidRPr="00C1468D" w:rsidRDefault="00E71B0E" w:rsidP="00E71B0E">
      <w:pPr>
        <w:spacing w:after="0" w:line="240" w:lineRule="auto"/>
        <w:rPr>
          <w:rFonts w:ascii="Times New Roman" w:eastAsia="Calibri" w:hAnsi="Times New Roman" w:cs="Times New Roman"/>
        </w:rPr>
      </w:pPr>
    </w:p>
    <w:p w:rsidR="00E71B0E" w:rsidRPr="00C1468D" w:rsidRDefault="00E71B0E" w:rsidP="00E71B0E">
      <w:pPr>
        <w:spacing w:after="0" w:line="240" w:lineRule="auto"/>
        <w:rPr>
          <w:rFonts w:ascii="Times New Roman" w:eastAsia="Calibri" w:hAnsi="Times New Roman" w:cs="Times New Roman"/>
        </w:rPr>
      </w:pPr>
    </w:p>
    <w:p w:rsidR="00E71B0E" w:rsidRPr="00C1468D" w:rsidRDefault="00E71B0E" w:rsidP="00E71B0E">
      <w:pPr>
        <w:spacing w:after="0" w:line="240" w:lineRule="auto"/>
        <w:rPr>
          <w:rFonts w:ascii="Times New Roman" w:eastAsia="Calibri" w:hAnsi="Times New Roman" w:cs="Times New Roman"/>
        </w:rPr>
      </w:pPr>
    </w:p>
    <w:p w:rsidR="00E71B0E" w:rsidRPr="00C1468D" w:rsidRDefault="00E71B0E" w:rsidP="00E71B0E">
      <w:pPr>
        <w:spacing w:after="0" w:line="240" w:lineRule="auto"/>
        <w:rPr>
          <w:rFonts w:ascii="Times New Roman" w:eastAsia="Calibri" w:hAnsi="Times New Roman" w:cs="Times New Roman"/>
        </w:rPr>
      </w:pPr>
    </w:p>
    <w:p w:rsidR="00E71B0E" w:rsidRPr="00110C9F" w:rsidRDefault="00E71B0E" w:rsidP="00E71B0E">
      <w:pPr>
        <w:spacing w:after="0" w:line="240" w:lineRule="auto"/>
        <w:rPr>
          <w:rFonts w:ascii="Times New Roman" w:hAnsi="Times New Roman" w:cs="Times New Roman"/>
          <w:b/>
          <w:i/>
          <w:sz w:val="32"/>
          <w:szCs w:val="32"/>
        </w:rPr>
      </w:pPr>
      <w:r w:rsidRPr="00110C9F">
        <w:rPr>
          <w:rFonts w:ascii="Times New Roman" w:hAnsi="Times New Roman" w:cs="Times New Roman"/>
          <w:b/>
          <w:i/>
          <w:sz w:val="32"/>
          <w:szCs w:val="32"/>
        </w:rPr>
        <w:t>GASB Calendar</w:t>
      </w:r>
    </w:p>
    <w:p w:rsidR="00E71B0E" w:rsidRDefault="00E71B0E" w:rsidP="00E71B0E">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GASB has scheduled the following public meeting dates:</w:t>
      </w:r>
    </w:p>
    <w:p w:rsidR="00BA503D" w:rsidRDefault="00BA503D"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May 23–25, Washington, DC (Hotel Rouge, 1315 16th Street, NW)</w:t>
      </w: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June 27–29</w:t>
      </w:r>
    </w:p>
    <w:p w:rsidR="00BA503D" w:rsidRDefault="00BA503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GASB also is scheduled to meet via </w:t>
      </w:r>
      <w:r w:rsidRPr="00BA503D">
        <w:rPr>
          <w:rFonts w:ascii="Times New Roman" w:hAnsi="Times New Roman" w:cs="Times New Roman"/>
          <w:b/>
          <w:sz w:val="24"/>
          <w:szCs w:val="24"/>
        </w:rPr>
        <w:t>teleconference</w:t>
      </w:r>
      <w:r w:rsidRPr="004A2BD0">
        <w:rPr>
          <w:rFonts w:ascii="Times New Roman" w:hAnsi="Times New Roman" w:cs="Times New Roman"/>
          <w:sz w:val="24"/>
          <w:szCs w:val="24"/>
        </w:rPr>
        <w:t xml:space="preserve"> on </w:t>
      </w:r>
      <w:r w:rsidRPr="00BA503D">
        <w:rPr>
          <w:rFonts w:ascii="Times New Roman" w:hAnsi="Times New Roman" w:cs="Times New Roman"/>
          <w:b/>
          <w:sz w:val="24"/>
          <w:szCs w:val="24"/>
        </w:rPr>
        <w:t>June 14</w:t>
      </w:r>
      <w:r w:rsidRPr="004A2BD0">
        <w:rPr>
          <w:rFonts w:ascii="Times New Roman" w:hAnsi="Times New Roman" w:cs="Times New Roman"/>
          <w:sz w:val="24"/>
          <w:szCs w:val="24"/>
        </w:rPr>
        <w:t xml:space="preserve"> and </w:t>
      </w:r>
      <w:r w:rsidRPr="00BA503D">
        <w:rPr>
          <w:rFonts w:ascii="Times New Roman" w:hAnsi="Times New Roman" w:cs="Times New Roman"/>
          <w:b/>
          <w:sz w:val="24"/>
          <w:szCs w:val="24"/>
        </w:rPr>
        <w:t>July 26.</w:t>
      </w:r>
      <w:r w:rsidRPr="004A2BD0">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In addition, the FAF Trustees will meet on May 25 in Washington, DC.</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Finally, the GASB will meet with the Governmental Accounting Standards Advisory Council on June 29–30 in Norwalk.</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Please check the GASB website at www.gasb.org three working days prior to meetings to verify the final agenda.</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If you plan to attend </w:t>
      </w:r>
      <w:r w:rsidRPr="00BA503D">
        <w:rPr>
          <w:rFonts w:ascii="Times New Roman" w:hAnsi="Times New Roman" w:cs="Times New Roman"/>
          <w:i/>
          <w:sz w:val="24"/>
          <w:szCs w:val="24"/>
        </w:rPr>
        <w:t>any</w:t>
      </w:r>
      <w:r w:rsidRPr="004A2BD0">
        <w:rPr>
          <w:rFonts w:ascii="Times New Roman" w:hAnsi="Times New Roman" w:cs="Times New Roman"/>
          <w:sz w:val="24"/>
          <w:szCs w:val="24"/>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32"/>
          <w:szCs w:val="32"/>
        </w:rPr>
      </w:pPr>
      <w:r w:rsidRPr="00BA503D">
        <w:rPr>
          <w:rFonts w:ascii="Times New Roman" w:hAnsi="Times New Roman" w:cs="Times New Roman"/>
          <w:b/>
          <w:i/>
          <w:sz w:val="32"/>
          <w:szCs w:val="32"/>
        </w:rPr>
        <w:t>Project on Financial Guarantees Added to Current Technical Agenda</w:t>
      </w:r>
    </w:p>
    <w:p w:rsidR="004A2BD0" w:rsidRPr="004A2BD0" w:rsidRDefault="004A2BD0"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In April, after consultation with the Governmental Accounting Standards Advisory Council and the Board, GASB Chairman Robert Attmore moved an item addressing financial guarantees from the research agenda to the current technical agenda. Projects on the current technical </w:t>
      </w:r>
      <w:r w:rsidRPr="004A2BD0">
        <w:rPr>
          <w:rFonts w:ascii="Times New Roman" w:hAnsi="Times New Roman" w:cs="Times New Roman"/>
          <w:sz w:val="24"/>
          <w:szCs w:val="24"/>
        </w:rPr>
        <w:lastRenderedPageBreak/>
        <w:t>agenda are those for which active deliberations by the Board are expected to take place during the coming year.</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objective of this project is to establish additional guidance regarding recognition and disclosure of financial guarantees made and received by state and local governments. Governments typically provide several types of financial guarantees, which are primarily associated with commitments to ensure payments on debt issued by other entities. Financial guarantees represent potential claims on a government’s resources when it is the provider of a guarantee. This project will address what related disclosures should be required and when the guarantor would recognize a liability.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i/>
          <w:sz w:val="24"/>
          <w:szCs w:val="24"/>
        </w:rPr>
      </w:pPr>
      <w:r w:rsidRPr="004A2BD0">
        <w:rPr>
          <w:rFonts w:ascii="Times New Roman" w:hAnsi="Times New Roman" w:cs="Times New Roman"/>
          <w:sz w:val="24"/>
          <w:szCs w:val="24"/>
        </w:rPr>
        <w:t xml:space="preserve">The current economic climate has given rise to a level of financial stress that has impacted many entities and resulted in financial guarantees made or received in the past now coming to light. To the extent that it exists, related accounting and financial reporting guidance for such transactions derives from a variety of sources, including GASB Statements No. 53, </w:t>
      </w:r>
      <w:r w:rsidRPr="00BA503D">
        <w:rPr>
          <w:rFonts w:ascii="Times New Roman" w:hAnsi="Times New Roman" w:cs="Times New Roman"/>
          <w:i/>
          <w:sz w:val="24"/>
          <w:szCs w:val="24"/>
        </w:rPr>
        <w:t>Accounting and Financial Reporting for Derivative Instruments;</w:t>
      </w:r>
      <w:r w:rsidRPr="004A2BD0">
        <w:rPr>
          <w:rFonts w:ascii="Times New Roman" w:hAnsi="Times New Roman" w:cs="Times New Roman"/>
          <w:sz w:val="24"/>
          <w:szCs w:val="24"/>
        </w:rPr>
        <w:t xml:space="preserve"> No. 60, </w:t>
      </w:r>
      <w:r w:rsidRPr="00BA503D">
        <w:rPr>
          <w:rFonts w:ascii="Times New Roman" w:hAnsi="Times New Roman" w:cs="Times New Roman"/>
          <w:i/>
          <w:sz w:val="24"/>
          <w:szCs w:val="24"/>
        </w:rPr>
        <w:t>Accounting and Financial Reporting for Service Concession Arrangements;</w:t>
      </w:r>
      <w:r w:rsidRPr="004A2BD0">
        <w:rPr>
          <w:rFonts w:ascii="Times New Roman" w:hAnsi="Times New Roman" w:cs="Times New Roman"/>
          <w:sz w:val="24"/>
          <w:szCs w:val="24"/>
        </w:rPr>
        <w:t xml:space="preserve"> and No. 62, </w:t>
      </w:r>
      <w:r w:rsidRPr="00BA503D">
        <w:rPr>
          <w:rFonts w:ascii="Times New Roman" w:hAnsi="Times New Roman" w:cs="Times New Roman"/>
          <w:i/>
          <w:sz w:val="24"/>
          <w:szCs w:val="24"/>
        </w:rPr>
        <w:t>Codification of Accounting and Financial Reporting Guidance Contained in Pre-November 30, 1989 FASB and AICPA Pronouncements.</w:t>
      </w:r>
    </w:p>
    <w:p w:rsidR="00A73358" w:rsidRPr="00BA503D" w:rsidRDefault="00A73358" w:rsidP="004A2BD0">
      <w:pPr>
        <w:spacing w:after="0" w:line="240" w:lineRule="auto"/>
        <w:rPr>
          <w:rFonts w:ascii="Times New Roman" w:hAnsi="Times New Roman" w:cs="Times New Roman"/>
          <w:i/>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Due to the increased importance of guarantees and the potential for them to result in claims, the need for clear and consistent recognition and disclosure guidance has become more pressing.</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Research conducted by the GASB indicates that numerous types of state and local government entities issue and receive financial guarantees, including general purpose governments, special-purpose governments, and governmental entities that engage in business-type activities. Ultimately, the project is designed to result in more useful information being available to users of governmental financial information, which would enable them to recognize and understand financial guarantees that are issued and received by state and local governments.</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Board deliberations on the project are scheduled to begin with a discussion of recognition issues in August. Issuance of an Exposure Draft is scheduled to take place in June 2012.</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32"/>
          <w:szCs w:val="32"/>
        </w:rPr>
      </w:pPr>
      <w:r w:rsidRPr="00BA503D">
        <w:rPr>
          <w:rFonts w:ascii="Times New Roman" w:hAnsi="Times New Roman" w:cs="Times New Roman"/>
          <w:b/>
          <w:i/>
          <w:sz w:val="32"/>
          <w:szCs w:val="32"/>
        </w:rPr>
        <w:t>Board Meeting Summary</w:t>
      </w:r>
    </w:p>
    <w:p w:rsidR="00BA503D" w:rsidRDefault="00BA503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GASB met via teleconference on March 22 to review and consider for clearance a proposed Exposure Draft of the American Institute of Certified Public Accountants Audit and Accounting Guide and to discuss issues associated with its projects on pension accounting and financial reporting and the statement of net position.</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Board also held a public meeting at its office in Norwalk, Connecticut, on April 12–14 to discuss issues associated with its projects on pension accounting and financial reporting, </w:t>
      </w:r>
      <w:r w:rsidRPr="004A2BD0">
        <w:rPr>
          <w:rFonts w:ascii="Times New Roman" w:hAnsi="Times New Roman" w:cs="Times New Roman"/>
          <w:sz w:val="24"/>
          <w:szCs w:val="24"/>
        </w:rPr>
        <w:lastRenderedPageBreak/>
        <w:t>recognition and measurement attributes under the conceptual framework, the statement of net position, deferred inflows of</w:t>
      </w:r>
      <w:r w:rsidR="00BA503D">
        <w:rPr>
          <w:rFonts w:ascii="Times New Roman" w:hAnsi="Times New Roman" w:cs="Times New Roman"/>
          <w:sz w:val="24"/>
          <w:szCs w:val="24"/>
        </w:rPr>
        <w:t xml:space="preserve"> </w:t>
      </w:r>
      <w:r w:rsidRPr="004A2BD0">
        <w:rPr>
          <w:rFonts w:ascii="Times New Roman" w:hAnsi="Times New Roman" w:cs="Times New Roman"/>
          <w:sz w:val="24"/>
          <w:szCs w:val="24"/>
        </w:rPr>
        <w:t>resources and deferred outflows of resources, fiscal sustainability as it relates to economic condition reporting, and the technical plan for the second third of 2011.</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Finally, the Board met with its task force on fiscal sustainability as it relates to economic condition reporting on April 14.</w:t>
      </w: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AICPA Health Care Guide</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Board reviewed and, subject to minor revisions and clarifications, cleared chapter 15 of the working draft of the proposed AICPA Audit and Accounting Guide, </w:t>
      </w:r>
      <w:r w:rsidRPr="00BA503D">
        <w:rPr>
          <w:rFonts w:ascii="Times New Roman" w:hAnsi="Times New Roman" w:cs="Times New Roman"/>
          <w:i/>
          <w:sz w:val="24"/>
          <w:szCs w:val="24"/>
        </w:rPr>
        <w:t>Health Care Entities.</w:t>
      </w:r>
      <w:r w:rsidRPr="004A2BD0">
        <w:rPr>
          <w:rFonts w:ascii="Times New Roman" w:hAnsi="Times New Roman" w:cs="Times New Roman"/>
          <w:sz w:val="24"/>
          <w:szCs w:val="24"/>
        </w:rPr>
        <w:t xml:space="preserve"> (Please</w:t>
      </w:r>
      <w:r w:rsidR="00BA503D">
        <w:rPr>
          <w:rFonts w:ascii="Times New Roman" w:hAnsi="Times New Roman" w:cs="Times New Roman"/>
          <w:sz w:val="24"/>
          <w:szCs w:val="24"/>
        </w:rPr>
        <w:t xml:space="preserve"> see the related story on page X</w:t>
      </w:r>
      <w:r w:rsidRPr="004A2BD0">
        <w:rPr>
          <w:rFonts w:ascii="Times New Roman" w:hAnsi="Times New Roman" w:cs="Times New Roman"/>
          <w:sz w:val="24"/>
          <w:szCs w:val="24"/>
        </w:rPr>
        <w:t>.)</w:t>
      </w: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 xml:space="preserve">Pension Accounting and Financial Reporting </w:t>
      </w: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discussed nine topics associated with the pension accounting and financial reporting project at the March teleconference and the April meeting. At the March meeting, the Board discussed certain issues related to accounting for a nonemployer entity’s involvement with cost-sharing arrangements, accounting issues related to an employer’s liability to a pension plan for contributions, certain disclosures by sole and agent employers regarding plan net assets, and follow-up issues related to accounting for defined contribution pension benefits. At the April meeting, the Board continued its discussion of issues related to accounting for a nonemployer entity’s involvement with cost-sharing arrangements and discussed the attribution of a net pension liability and related measures for pension benefits provided through a cost-sharing defined benefit pension plan to employers and to nonemployer governments that have a legal responsibility for a portion of total contributions; accounting for the role of nonemployer entities that have a legal requirement to contribute to a defined benefit single-employer or agent multiple-employer pension plan; note disclosures and required supplementary information for governments that would be required to recognize a net pension liability for a cost-sharing pension arrangement; certain note disclosure and required supplementary information requirements for agent pension plans; and transition and effective date provisions. In addition, the Board reviewed draft Standards sections for the employer and plan Exposure Drafts.</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On the topic of a nonemployer entity’s responsibility to contribute to a cost-sharing defined benefit pension plan, the Board tentatively agreed that the role of the nonemployer entity that has a legal responsibility for a portion of total contributions to satisfy the total liability of the employers is tentatively viewed by the Board as support or assistance to the employers that results in an assumption by the nonemployer entity of a portion of each employer’s net pension liability and related measures. The Board specifically excluded from this approach nonemployer entities whose requirements to contribute are contingent, for example, in circumstances in which there is a requirement to contribute amounts collected under a specific tax assessment. The Board further tentatively agreed that the general approach discussed in Statement No. 24, </w:t>
      </w:r>
      <w:r w:rsidRPr="00BA503D">
        <w:rPr>
          <w:rFonts w:ascii="Times New Roman" w:hAnsi="Times New Roman" w:cs="Times New Roman"/>
          <w:i/>
          <w:sz w:val="24"/>
          <w:szCs w:val="24"/>
        </w:rPr>
        <w:t>Accounting and Financial Reporting for Certain Grants and Other Financial Assistance,</w:t>
      </w:r>
      <w:r w:rsidRPr="004A2BD0">
        <w:rPr>
          <w:rFonts w:ascii="Times New Roman" w:hAnsi="Times New Roman" w:cs="Times New Roman"/>
          <w:sz w:val="24"/>
          <w:szCs w:val="24"/>
        </w:rPr>
        <w:t xml:space="preserve"> which results in employers recognizing expense in an amount that reflects the total cost of compensation, would continue to be applied to cost-sharing employers.</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With respect to note disclosures about plan net assets for sole and agent employers, the Board tentatively agreed that if a plan financial report that includes disclosure about plan net assets is </w:t>
      </w:r>
      <w:r w:rsidRPr="004A2BD0">
        <w:rPr>
          <w:rFonts w:ascii="Times New Roman" w:hAnsi="Times New Roman" w:cs="Times New Roman"/>
          <w:sz w:val="24"/>
          <w:szCs w:val="24"/>
        </w:rPr>
        <w:lastRenderedPageBreak/>
        <w:t>publicly available, either as a stand-alone financial statement or included as a fiduciary fund of another entity, the employer may refer to the plan’s financial report for disclosures about plan net assets. In this situation, the Board tentatively agreed that the employer also would be required to disclose that the components of plan net assets and changes in plan net assets have been determined on the same basis as is used in financial reporting by the plan and to include a brief summary of the plan’s basis of accounting, including the policies with respect to benefits and refunds paid, and the valuation of investments. The Board also tentatively agreed that if significant changes have occurred that would indicate that the disclosures included in the plan’s financial report generally would not reflect the facts and circumstances at the employer’s year-end, additional disclosure describing the substance and magnitude of the changes would be required. In circumstances in which plan-level information is not included in a publicly available financial report, the Board tentatively agreed that the employer should disclose all information required by other standards about plan net assets.</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Concerning the topic of accounting for defined contribution benefits, the Board tentatively agreed that an employer that provides defined contribution benefits would report pension expense net of forfeitures of nonvested employer contributions that are removed from employees’ accounts. In addition, the Board tentatively agreed that employers that provide defined contribution benefits would disclose a brief description of vesting and forfeiture provisions, if any, including a description of how forfeitures are used and the amount of forfeitures reflected in net pension expense recognized in the period. The Board also discussed the classification of pension benefits that have both defined contribution and defined benefit characteristics and tentatively affirmed that such a benefit would be accounted for as a defined benefit.</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With regard to the attribution of the collective cost-sharing liability and related measures to employers and to nonemployer governments that have a legal responsibility for a portion of total contributions, the Board tentatively decided that the proportionate share would be based on a measure reflective of the long-term expectation of the individual entity’s contribution requirements relative to the expected total legally required contribution requirements of all entities, determined at the time of the latest actuarial valuation. In addition, the Board agreed that for each entity, the net effect of a change in its proportionate share would be calculated for accounting and financial reporting purposes as of the beginning of its fiscal year. The net effect would be accounted for as a deferred outflow (inflow), with pension expense recognized over a weighted-average period based on the expected remaining service lives of all active employees. Finally, the Board tentatively decided that any difference between the amount of a government’s actual contribution recognized by the pension plan and the proportionate share of all contributions allocated to the government in the period would be recognized as a deferred outflow (inflow), with pension expense recognized over a weighted-average period based on the expected remaining service lives of all active employees.</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On the topic of note disclosures and required supplementary information for governments that recognize cost-sharing pension liabilities, the Board tentatively decided the following general information would be required:</w:t>
      </w:r>
    </w:p>
    <w:p w:rsidR="00BA503D" w:rsidRPr="004A2BD0" w:rsidRDefault="00BA503D" w:rsidP="004A2BD0">
      <w:pPr>
        <w:spacing w:after="0" w:line="240" w:lineRule="auto"/>
        <w:rPr>
          <w:rFonts w:ascii="Times New Roman" w:hAnsi="Times New Roman" w:cs="Times New Roman"/>
          <w:sz w:val="24"/>
          <w:szCs w:val="24"/>
        </w:rPr>
      </w:pP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lastRenderedPageBreak/>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The aggregate (total for all benefit arrangements) recognized net pension liabilities, pension expenses, deferred pension outflows, and deferred pension inflows</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General information about the plan, including descriptions of benefit provisions and the authority for establishing or amending those provisions, descriptions of employees covered by the benefit arrangement, and the availability of stand-alone plan financial reports</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Assumptions used in measurement</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Descriptions of changes in assumptions or plan terms</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Information about the basis for the determination of contributions to the plan by employees, the employer, and other contributing entities.</w:t>
      </w:r>
    </w:p>
    <w:p w:rsidR="00BA503D" w:rsidRDefault="00BA503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tentatively agreed to also require disclosure of information about the net pension liability and related measures associated with each cost-sharing plan for which the government recognizes a pension liability.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Governments also would be required to disclose the amount of government-specific deferred outflows (inflows) attributable to the net effect of the government’s current-period change in proportionate share and the current-period difference between the government’s actual contributions recognized by the plan and the government’s proportionate share of collective contributions recognized by the plan in the period, the period over which those deferred outflows (inflows) will be recognized as pension expense, and the amount of prior-period individual-government deferred pension outflows (inflows) recognized as pension expense in the current period.</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In addition, the Board tentatively agreed that a cost-sharing </w:t>
      </w:r>
      <w:r w:rsidRPr="00BA503D">
        <w:rPr>
          <w:rFonts w:ascii="Times New Roman" w:hAnsi="Times New Roman" w:cs="Times New Roman"/>
          <w:i/>
          <w:sz w:val="24"/>
          <w:szCs w:val="24"/>
        </w:rPr>
        <w:t xml:space="preserve">employer </w:t>
      </w:r>
      <w:r w:rsidRPr="004A2BD0">
        <w:rPr>
          <w:rFonts w:ascii="Times New Roman" w:hAnsi="Times New Roman" w:cs="Times New Roman"/>
          <w:sz w:val="24"/>
          <w:szCs w:val="24"/>
        </w:rPr>
        <w:t>would be required to disclose the revenue it recognized as a result of the support provided by the nonemployer contributing entity, as well as the amount of net pension liability and deferred pension outflows (inflows) assumed by the nonemployer contributing entity and the amount of the net pension liability and deferred pension outflows (inflows) that would have been recognized by the employer if a portion of those amounts had not been assumed by a nonemployer contributing entity.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With regard to situations in which a nonemployer entity has a legally enforceable responsibility to contribute to a single-employer or agent multiple-employer plan, the Board tentatively agreed that the employer(s) and the nonemployer entity would account for that support in the same way that a cost-sharing employer would account for such support under the tentative decisions identified above. In addition, the Board tentatively agreed that the nonemployer contributing government would follow the same disclosure requirements tentatively agreed upon related to nonemployer governments’ involvement in cost-sharing arrangements. It also tentatively was decided that sole or agent employers that receive support from a nonemployer entity would report in notes and required supplementary information the same information as required by sole and agent employers that do not have other-entity support. Detailed information presented in notes and required supplementary information of a sole or agent employer would be measured without the effects of the other entity’s support, with additional identification of the amount of net pension liability and deferred pension outflows (inflows) assumed by the nonemployer contributing entity and the revenue recognized as a result of the support provided by the nonemployer contributing entity.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On the topic of transition and effective dates, the Board tentatively decided that the provisions of the proposed Statements would be applied retroactively to the extent it is practical in employer and plan financial statements. In cases in which it is not practical, for example, as might be the case with deferral balances related to differences between actual and projected earnings on plan investments for an employer whose fiscal year-end differs from the plan’s, the employer’s retroactive application would be limited to the net pension liability. In regard to required supplementary information, the Board tentatively agreed that amounts would not be required to be presented for periods prior to implementation; however, retroactive application would be encouraged.</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In regard to the effective date for employers, the Board tentatively decided the effective date would be for financial reporting periods beginning after June 15, 2012, for large, sole employers that are not involved in arrangements in which another entity would be required to report a share of the employer’s net pension liability and related measures as a result of a legally enforceable requirement to make contributions. For all other employers, the requirements of the proposed Statement would be effective for periods beginning after June 15, 2013. The Board will continue deliberations at a future meeting regarding the definition of “large” for this purpose. The Board tentatively agreed that pension plans would follow the same effective date requirements as tentatively decided for the employers.</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also reviewed draft Standards sections of both the employer and the pension plan Exposure Drafts and considered additional issues related to those drafts. Board members provided feedback and suggestions to the project staff related to the text of the drafts. In addition, the Board made tentative decisions related to detailed requirements for display of information in pension plan financial statements, generally agreeing to carry forward existing requirements to the Exposure Draft. The Board also discussed terminology and issues related to further alignment of the employer and plan requirements for note disclosures and required supplementary information.</w:t>
      </w: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Concepts—Recognition and Measurement Approaches</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Board reviewed the preballot draft of the Preliminary Views, </w:t>
      </w:r>
      <w:r w:rsidRPr="00BA503D">
        <w:rPr>
          <w:rFonts w:ascii="Times New Roman" w:hAnsi="Times New Roman" w:cs="Times New Roman"/>
          <w:i/>
          <w:sz w:val="24"/>
          <w:szCs w:val="24"/>
        </w:rPr>
        <w:t>Recognition of Elements of Financial Statements and Measurement Approaches.</w:t>
      </w:r>
      <w:r w:rsidRPr="004A2BD0">
        <w:rPr>
          <w:rFonts w:ascii="Times New Roman" w:hAnsi="Times New Roman" w:cs="Times New Roman"/>
          <w:sz w:val="24"/>
          <w:szCs w:val="24"/>
        </w:rPr>
        <w:t xml:space="preserve"> The Board offered various suggestions to improve the document and requested that the staff prepare a revised preballot draft of the Preliminary Views for review at the June teleconference meeting.</w:t>
      </w:r>
    </w:p>
    <w:p w:rsidR="004A2BD0" w:rsidRPr="004A2BD0" w:rsidRDefault="004A2BD0"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Statement of Net Position</w:t>
      </w:r>
    </w:p>
    <w:p w:rsidR="004A2BD0" w:rsidRDefault="004A2BD0" w:rsidP="004A2BD0">
      <w:pPr>
        <w:spacing w:after="0" w:line="240" w:lineRule="auto"/>
        <w:rPr>
          <w:rFonts w:ascii="Times New Roman" w:hAnsi="Times New Roman" w:cs="Times New Roman"/>
          <w:i/>
          <w:sz w:val="24"/>
          <w:szCs w:val="24"/>
        </w:rPr>
      </w:pPr>
      <w:r w:rsidRPr="004A2BD0">
        <w:rPr>
          <w:rFonts w:ascii="Times New Roman" w:hAnsi="Times New Roman" w:cs="Times New Roman"/>
          <w:sz w:val="24"/>
          <w:szCs w:val="24"/>
        </w:rPr>
        <w:t xml:space="preserve">The Board began its redeliberations of the issues raised by respondents to the Exposure Draft by agreeing that it would not be necessary or appropriate to redeliberate conclusions reached in other pronouncements that gave rise to this project. Specifically, the establishment of the separate elements of deferred outflows of resources and deferred inflows of resources in Concepts Statement No. 4, </w:t>
      </w:r>
      <w:r w:rsidRPr="00BA503D">
        <w:rPr>
          <w:rFonts w:ascii="Times New Roman" w:hAnsi="Times New Roman" w:cs="Times New Roman"/>
          <w:i/>
          <w:sz w:val="24"/>
          <w:szCs w:val="24"/>
        </w:rPr>
        <w:t>Elements of Financial Statements,</w:t>
      </w:r>
      <w:r w:rsidRPr="004A2BD0">
        <w:rPr>
          <w:rFonts w:ascii="Times New Roman" w:hAnsi="Times New Roman" w:cs="Times New Roman"/>
          <w:sz w:val="24"/>
          <w:szCs w:val="24"/>
        </w:rPr>
        <w:t xml:space="preserve"> and the requirements to report deferred outflows and deferred inflows of resources in Statements No. 53, </w:t>
      </w:r>
      <w:r w:rsidRPr="00BA503D">
        <w:rPr>
          <w:rFonts w:ascii="Times New Roman" w:hAnsi="Times New Roman" w:cs="Times New Roman"/>
          <w:i/>
          <w:sz w:val="24"/>
          <w:szCs w:val="24"/>
        </w:rPr>
        <w:t>Accounting and Financial Reporting for Derivative Instruments,</w:t>
      </w:r>
      <w:r w:rsidRPr="004A2BD0">
        <w:rPr>
          <w:rFonts w:ascii="Times New Roman" w:hAnsi="Times New Roman" w:cs="Times New Roman"/>
          <w:sz w:val="24"/>
          <w:szCs w:val="24"/>
        </w:rPr>
        <w:t xml:space="preserve"> and No. 60, </w:t>
      </w:r>
      <w:r w:rsidRPr="00BA503D">
        <w:rPr>
          <w:rFonts w:ascii="Times New Roman" w:hAnsi="Times New Roman" w:cs="Times New Roman"/>
          <w:i/>
          <w:sz w:val="24"/>
          <w:szCs w:val="24"/>
        </w:rPr>
        <w:t>Accounting and Financial Reporting for Service Concession Arrangements.</w:t>
      </w:r>
    </w:p>
    <w:p w:rsidR="00A73358" w:rsidRPr="00BA503D" w:rsidRDefault="00A73358" w:rsidP="004A2BD0">
      <w:pPr>
        <w:spacing w:after="0" w:line="240" w:lineRule="auto"/>
        <w:rPr>
          <w:rFonts w:ascii="Times New Roman" w:hAnsi="Times New Roman" w:cs="Times New Roman"/>
          <w:i/>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lastRenderedPageBreak/>
        <w:t>The Board tentatively agreed to make certain clarifications for the final Statement, including:</w:t>
      </w:r>
    </w:p>
    <w:p w:rsidR="00BA503D" w:rsidRDefault="00BA503D" w:rsidP="004A2BD0">
      <w:pPr>
        <w:spacing w:after="0" w:line="240" w:lineRule="auto"/>
        <w:rPr>
          <w:rFonts w:ascii="Times New Roman" w:hAnsi="Times New Roman" w:cs="Times New Roman"/>
          <w:sz w:val="24"/>
          <w:szCs w:val="24"/>
        </w:rPr>
      </w:pP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Adding a specific indication in the Standards section that reporting deferred outflows and deferred inflows of resources is limited to those items that “are required to be reported” as such</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Specifically stating that the residual amount in a statement of financial position would be reported as net position, rather than net assets, fund balance, or equity.</w:t>
      </w:r>
    </w:p>
    <w:p w:rsidR="00BA503D" w:rsidRDefault="00BA503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also tentatively concluded that:</w:t>
      </w:r>
    </w:p>
    <w:p w:rsidR="00BA503D" w:rsidRDefault="00BA503D" w:rsidP="004A2BD0">
      <w:pPr>
        <w:spacing w:after="0" w:line="240" w:lineRule="auto"/>
        <w:rPr>
          <w:rFonts w:ascii="Times New Roman" w:hAnsi="Times New Roman" w:cs="Times New Roman"/>
          <w:sz w:val="24"/>
          <w:szCs w:val="24"/>
        </w:rPr>
      </w:pP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Progress should continue toward issuing a final Statement to provide guidance for reporting deferred outflows and deferred inflow of resources as soon as possible, rather than delaying this project and combining it with the separate deferrals omnibus project.</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The proposal in the Exposure Draft to report deferred outflows of resources separately from deferred inflows of resources would be carried forward to the final Statement.</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Subtotals for assets and deferred outflows of resources and liabilities and deferred inflows of resources would be allowed to be presented.</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The option to use a balance sheet format would be reinstated for the final Statement.</w:t>
      </w:r>
    </w:p>
    <w:p w:rsidR="004A2BD0" w:rsidRP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The description of the components of net position in paragraphs 10–12 in the Exposure Draft would be retained, modified as needed to accommodate additional deferred items that may be identified in the separate deferrals omnibus project.</w:t>
      </w:r>
    </w:p>
    <w:p w:rsidR="004A2BD0" w:rsidRDefault="004A2BD0" w:rsidP="00BA503D">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BA503D">
        <w:rPr>
          <w:rFonts w:ascii="Times New Roman" w:hAnsi="Times New Roman" w:cs="Times New Roman"/>
          <w:sz w:val="24"/>
          <w:szCs w:val="24"/>
        </w:rPr>
        <w:tab/>
      </w:r>
      <w:r w:rsidRPr="004A2BD0">
        <w:rPr>
          <w:rFonts w:ascii="Times New Roman" w:hAnsi="Times New Roman" w:cs="Times New Roman"/>
          <w:sz w:val="24"/>
          <w:szCs w:val="24"/>
        </w:rPr>
        <w:t>The effective date of the Statement would be changed to periods beginning after December 15, 2011, rather than June 15, 2011, as proposed in the Exposure Draft.</w:t>
      </w:r>
    </w:p>
    <w:p w:rsidR="00BA503D" w:rsidRPr="004A2BD0" w:rsidRDefault="00BA503D"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b/>
          <w:i/>
          <w:sz w:val="24"/>
          <w:szCs w:val="24"/>
        </w:rPr>
      </w:pPr>
      <w:r w:rsidRPr="00BA503D">
        <w:rPr>
          <w:rFonts w:ascii="Times New Roman" w:hAnsi="Times New Roman" w:cs="Times New Roman"/>
          <w:b/>
          <w:i/>
          <w:sz w:val="24"/>
          <w:szCs w:val="24"/>
        </w:rPr>
        <w:t xml:space="preserve">Deferred Inflows of Resources and Deferred Outflows of Resources—Omnibus </w:t>
      </w: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continued deliberations on the deferred inflows of resources and deferred outflows of resources—omnibus project by reviewing the staff analysis of the remaining balances and determining whether those balances would continue to be classified as an asset or liability, would be reclassified as deferred outflows or deferred inflows of resources, or would be recognized as an outflow or inflow of resources in the current period.</w:t>
      </w:r>
      <w:r w:rsidR="00BA503D">
        <w:rPr>
          <w:rFonts w:ascii="Times New Roman" w:hAnsi="Times New Roman" w:cs="Times New Roman"/>
          <w:sz w:val="24"/>
          <w:szCs w:val="24"/>
        </w:rPr>
        <w:t xml:space="preserve"> </w:t>
      </w:r>
      <w:r w:rsidRPr="004A2BD0">
        <w:rPr>
          <w:rFonts w:ascii="Times New Roman" w:hAnsi="Times New Roman" w:cs="Times New Roman"/>
          <w:sz w:val="24"/>
          <w:szCs w:val="24"/>
        </w:rPr>
        <w:t>The Board tentatively concluded that the following items would be proposed to be classified in the listed categories:</w:t>
      </w:r>
    </w:p>
    <w:p w:rsidR="00BA503D" w:rsidRPr="004A2BD0" w:rsidRDefault="00BA503D" w:rsidP="004A2BD0">
      <w:pPr>
        <w:spacing w:after="0" w:line="240" w:lineRule="auto"/>
        <w:rPr>
          <w:rFonts w:ascii="Times New Roman" w:hAnsi="Times New Roman" w:cs="Times New Roman"/>
          <w:sz w:val="24"/>
          <w:szCs w:val="24"/>
        </w:rPr>
      </w:pPr>
    </w:p>
    <w:p w:rsidR="004A2BD0" w:rsidRPr="00BA503D" w:rsidRDefault="004A2BD0" w:rsidP="004A2BD0">
      <w:pPr>
        <w:spacing w:after="0" w:line="240" w:lineRule="auto"/>
        <w:rPr>
          <w:rFonts w:ascii="Times New Roman" w:hAnsi="Times New Roman" w:cs="Times New Roman"/>
          <w:i/>
          <w:sz w:val="24"/>
          <w:szCs w:val="24"/>
        </w:rPr>
      </w:pPr>
      <w:r w:rsidRPr="00BA503D">
        <w:rPr>
          <w:rFonts w:ascii="Times New Roman" w:hAnsi="Times New Roman" w:cs="Times New Roman"/>
          <w:i/>
          <w:sz w:val="24"/>
          <w:szCs w:val="24"/>
        </w:rPr>
        <w:t>Deferred Outflows of Resources</w:t>
      </w:r>
    </w:p>
    <w:p w:rsidR="00BA503D" w:rsidRDefault="00BA503D" w:rsidP="004A2BD0">
      <w:pPr>
        <w:spacing w:after="0" w:line="240" w:lineRule="auto"/>
        <w:rPr>
          <w:rFonts w:ascii="Times New Roman" w:hAnsi="Times New Roman" w:cs="Times New Roman"/>
          <w:sz w:val="24"/>
          <w:szCs w:val="24"/>
        </w:rPr>
      </w:pP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 xml:space="preserve">Deferred loss resulting from sale-leaseback transactions (Statement No. 62, </w:t>
      </w:r>
      <w:r w:rsidRPr="00D13019">
        <w:rPr>
          <w:rFonts w:ascii="Times New Roman" w:hAnsi="Times New Roman" w:cs="Times New Roman"/>
          <w:i/>
          <w:sz w:val="24"/>
          <w:szCs w:val="24"/>
        </w:rPr>
        <w:t>Codification of Accounting and Financial Reporting Guidance Contained in Pre-November 30, 1989 FASB and AICPA Pronouncements</w:t>
      </w:r>
      <w:r w:rsidRPr="004A2BD0">
        <w:rPr>
          <w:rFonts w:ascii="Times New Roman" w:hAnsi="Times New Roman" w:cs="Times New Roman"/>
          <w:sz w:val="24"/>
          <w:szCs w:val="24"/>
        </w:rPr>
        <w:t>)</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The difference resulting from overpayment of the initial investment to purchase a loan or group of loans relative to the principle amount of the related loan or loans at the date of purchase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(debit) of direct loan origination costs for mortgage loans held for resale prior to the point of sale (Statement 62)</w:t>
      </w:r>
    </w:p>
    <w:p w:rsid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paid to permanent investors to ensure the ultimate sale of loans prior to the point of sale (Statement 62).</w:t>
      </w:r>
    </w:p>
    <w:p w:rsidR="00D13019" w:rsidRPr="004A2BD0" w:rsidRDefault="00D13019" w:rsidP="004A2BD0">
      <w:pPr>
        <w:spacing w:after="0" w:line="240" w:lineRule="auto"/>
        <w:rPr>
          <w:rFonts w:ascii="Times New Roman" w:hAnsi="Times New Roman" w:cs="Times New Roman"/>
          <w:sz w:val="24"/>
          <w:szCs w:val="24"/>
        </w:rPr>
      </w:pPr>
    </w:p>
    <w:p w:rsidR="004A2BD0" w:rsidRPr="00D13019" w:rsidRDefault="004A2BD0" w:rsidP="004A2BD0">
      <w:pPr>
        <w:spacing w:after="0" w:line="240" w:lineRule="auto"/>
        <w:rPr>
          <w:rFonts w:ascii="Times New Roman" w:hAnsi="Times New Roman" w:cs="Times New Roman"/>
          <w:i/>
          <w:sz w:val="24"/>
          <w:szCs w:val="24"/>
        </w:rPr>
      </w:pPr>
      <w:r w:rsidRPr="00D13019">
        <w:rPr>
          <w:rFonts w:ascii="Times New Roman" w:hAnsi="Times New Roman" w:cs="Times New Roman"/>
          <w:i/>
          <w:sz w:val="24"/>
          <w:szCs w:val="24"/>
        </w:rPr>
        <w:t>Outflows of Resources</w:t>
      </w:r>
    </w:p>
    <w:p w:rsidR="00D13019" w:rsidRDefault="00D13019" w:rsidP="004A2BD0">
      <w:pPr>
        <w:spacing w:after="0" w:line="240" w:lineRule="auto"/>
        <w:rPr>
          <w:rFonts w:ascii="Times New Roman" w:hAnsi="Times New Roman" w:cs="Times New Roman"/>
          <w:sz w:val="24"/>
          <w:szCs w:val="24"/>
        </w:rPr>
      </w:pP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 xml:space="preserve">Acquisition costs for insurance entities and public entity risk pools (Statement 62 and Statement No. 10, </w:t>
      </w:r>
      <w:r w:rsidRPr="00D13019">
        <w:rPr>
          <w:rFonts w:ascii="Times New Roman" w:hAnsi="Times New Roman" w:cs="Times New Roman"/>
          <w:i/>
          <w:sz w:val="24"/>
          <w:szCs w:val="24"/>
        </w:rPr>
        <w:t>Accounting and Financial Reporting for Risk Financing and Related Insurance Issues</w:t>
      </w:r>
      <w:r w:rsidRPr="004A2BD0">
        <w:rPr>
          <w:rFonts w:ascii="Times New Roman" w:hAnsi="Times New Roman" w:cs="Times New Roman"/>
          <w:sz w:val="24"/>
          <w:szCs w:val="24"/>
        </w:rPr>
        <w:t>)</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Initial direct costs of operating leases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Debt issuance costs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(debit) of direct loan origination costs related to lending activities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(debit) of direct loan origination costs for mortgage loans held for investment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(debit) of direct loan origination costs for mortgage loans held for resale after the sale occurs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paid to permanent investors to ensure the ultimate sale of loans after the ultimate sale occurs (Statement 62).</w:t>
      </w:r>
    </w:p>
    <w:p w:rsidR="00D13019" w:rsidRDefault="00D13019" w:rsidP="004A2BD0">
      <w:pPr>
        <w:spacing w:after="0" w:line="240" w:lineRule="auto"/>
        <w:rPr>
          <w:rFonts w:ascii="Times New Roman" w:hAnsi="Times New Roman" w:cs="Times New Roman"/>
          <w:sz w:val="24"/>
          <w:szCs w:val="24"/>
        </w:rPr>
      </w:pPr>
    </w:p>
    <w:p w:rsidR="004A2BD0" w:rsidRPr="00D13019" w:rsidRDefault="004A2BD0" w:rsidP="004A2BD0">
      <w:pPr>
        <w:spacing w:after="0" w:line="240" w:lineRule="auto"/>
        <w:rPr>
          <w:rFonts w:ascii="Times New Roman" w:hAnsi="Times New Roman" w:cs="Times New Roman"/>
          <w:i/>
          <w:sz w:val="24"/>
          <w:szCs w:val="24"/>
        </w:rPr>
      </w:pPr>
      <w:r w:rsidRPr="00D13019">
        <w:rPr>
          <w:rFonts w:ascii="Times New Roman" w:hAnsi="Times New Roman" w:cs="Times New Roman"/>
          <w:i/>
          <w:sz w:val="24"/>
          <w:szCs w:val="24"/>
        </w:rPr>
        <w:t>Liabilities</w:t>
      </w:r>
    </w:p>
    <w:p w:rsidR="00D13019" w:rsidRDefault="00D13019" w:rsidP="004A2BD0">
      <w:pPr>
        <w:spacing w:after="0" w:line="240" w:lineRule="auto"/>
        <w:rPr>
          <w:rFonts w:ascii="Times New Roman" w:hAnsi="Times New Roman" w:cs="Times New Roman"/>
          <w:sz w:val="24"/>
          <w:szCs w:val="24"/>
        </w:rPr>
      </w:pP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Commitment fees charged for entering into an agreement that obligates the government to make or acquire a loan or to satisfy an obligation of the other party under a specified condition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that are received for guaranteeing the funding of mortgage loans (Statement 62).</w:t>
      </w:r>
    </w:p>
    <w:p w:rsidR="00D13019" w:rsidRDefault="00D13019" w:rsidP="004A2BD0">
      <w:pPr>
        <w:spacing w:after="0" w:line="240" w:lineRule="auto"/>
        <w:rPr>
          <w:rFonts w:ascii="Times New Roman" w:hAnsi="Times New Roman" w:cs="Times New Roman"/>
          <w:sz w:val="24"/>
          <w:szCs w:val="24"/>
        </w:rPr>
      </w:pPr>
    </w:p>
    <w:p w:rsidR="004A2BD0" w:rsidRPr="00D13019" w:rsidRDefault="004A2BD0" w:rsidP="004A2BD0">
      <w:pPr>
        <w:spacing w:after="0" w:line="240" w:lineRule="auto"/>
        <w:rPr>
          <w:rFonts w:ascii="Times New Roman" w:hAnsi="Times New Roman" w:cs="Times New Roman"/>
          <w:i/>
          <w:sz w:val="24"/>
          <w:szCs w:val="24"/>
        </w:rPr>
      </w:pPr>
      <w:r w:rsidRPr="00D13019">
        <w:rPr>
          <w:rFonts w:ascii="Times New Roman" w:hAnsi="Times New Roman" w:cs="Times New Roman"/>
          <w:i/>
          <w:sz w:val="24"/>
          <w:szCs w:val="24"/>
        </w:rPr>
        <w:t xml:space="preserve">Deferred Inflows of Resources </w:t>
      </w:r>
    </w:p>
    <w:p w:rsidR="00D13019" w:rsidRDefault="00D13019" w:rsidP="004A2BD0">
      <w:pPr>
        <w:spacing w:after="0" w:line="240" w:lineRule="auto"/>
        <w:rPr>
          <w:rFonts w:ascii="Times New Roman" w:hAnsi="Times New Roman" w:cs="Times New Roman"/>
          <w:sz w:val="24"/>
          <w:szCs w:val="24"/>
        </w:rPr>
      </w:pP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 xml:space="preserve">Deferred revenue related to special assessments and other unavailable revenue related to the application of modified accrual accounting (Statements No. 6, </w:t>
      </w:r>
      <w:r w:rsidRPr="00D13019">
        <w:rPr>
          <w:rFonts w:ascii="Times New Roman" w:hAnsi="Times New Roman" w:cs="Times New Roman"/>
          <w:i/>
          <w:sz w:val="24"/>
          <w:szCs w:val="24"/>
        </w:rPr>
        <w:t>Accounting and Financial Reporting for Special Assessments,</w:t>
      </w:r>
      <w:r w:rsidRPr="004A2BD0">
        <w:rPr>
          <w:rFonts w:ascii="Times New Roman" w:hAnsi="Times New Roman" w:cs="Times New Roman"/>
          <w:sz w:val="24"/>
          <w:szCs w:val="24"/>
        </w:rPr>
        <w:t xml:space="preserve"> and No. 33, </w:t>
      </w:r>
      <w:r w:rsidRPr="00D13019">
        <w:rPr>
          <w:rFonts w:ascii="Times New Roman" w:hAnsi="Times New Roman" w:cs="Times New Roman"/>
          <w:i/>
          <w:sz w:val="24"/>
          <w:szCs w:val="24"/>
        </w:rPr>
        <w:t>Accounting and Financial Reporting for Nonexchange Transactions</w:t>
      </w:r>
      <w:r w:rsidRPr="004A2BD0">
        <w:rPr>
          <w:rFonts w:ascii="Times New Roman" w:hAnsi="Times New Roman" w:cs="Times New Roman"/>
          <w:sz w:val="24"/>
          <w:szCs w:val="24"/>
        </w:rPr>
        <w:t>)</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investment in capital leases—accounting for sales-type and direct financing leases by the lessor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Deferred gain resulting from sale-leaseback transactions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The difference resulting from underpayment of the initial investment to purchase a loan or group of loans relative to the principle amount of the related loan or loans at the date of purchase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(credit) of loan origination fees for mortgage loans held for resale prior to the point of sale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received for arranging a commitment directly between a permanent investor and a borrower (Statement 62).</w:t>
      </w:r>
    </w:p>
    <w:p w:rsidR="00D13019" w:rsidRDefault="00D13019" w:rsidP="004A2BD0">
      <w:pPr>
        <w:spacing w:after="0" w:line="240" w:lineRule="auto"/>
        <w:rPr>
          <w:rFonts w:ascii="Times New Roman" w:hAnsi="Times New Roman" w:cs="Times New Roman"/>
          <w:sz w:val="24"/>
          <w:szCs w:val="24"/>
        </w:rPr>
      </w:pPr>
    </w:p>
    <w:p w:rsidR="004A2BD0" w:rsidRPr="00D13019" w:rsidRDefault="004A2BD0" w:rsidP="004A2BD0">
      <w:pPr>
        <w:spacing w:after="0" w:line="240" w:lineRule="auto"/>
        <w:rPr>
          <w:rFonts w:ascii="Times New Roman" w:hAnsi="Times New Roman" w:cs="Times New Roman"/>
          <w:i/>
          <w:sz w:val="24"/>
          <w:szCs w:val="24"/>
        </w:rPr>
      </w:pPr>
      <w:r w:rsidRPr="00D13019">
        <w:rPr>
          <w:rFonts w:ascii="Times New Roman" w:hAnsi="Times New Roman" w:cs="Times New Roman"/>
          <w:i/>
          <w:sz w:val="24"/>
          <w:szCs w:val="24"/>
        </w:rPr>
        <w:t xml:space="preserve">Inflows of Resources </w:t>
      </w:r>
    </w:p>
    <w:p w:rsidR="00D13019" w:rsidRDefault="00D13019" w:rsidP="004A2BD0">
      <w:pPr>
        <w:spacing w:after="0" w:line="240" w:lineRule="auto"/>
        <w:rPr>
          <w:rFonts w:ascii="Times New Roman" w:hAnsi="Times New Roman" w:cs="Times New Roman"/>
          <w:sz w:val="24"/>
          <w:szCs w:val="24"/>
        </w:rPr>
      </w:pP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(credit) of loan origination fees related to lending activities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Commitment fees realized upon exercise or expiration of the commitment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(credit) of loan origination fees for mortgage loans held for investment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Net balance (credit) of loan origination fees for mortgage loans held for resale after the sale occurs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lastRenderedPageBreak/>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that are realized after the funding of mortgage loans has occurred or after the commitment to guarantee the funding of mortgage loans expires (Statement 62)</w:t>
      </w:r>
    </w:p>
    <w:p w:rsidR="004A2BD0" w:rsidRPr="004A2BD0" w:rsidRDefault="004A2BD0" w:rsidP="00D13019">
      <w:pPr>
        <w:tabs>
          <w:tab w:val="left" w:pos="270"/>
        </w:tabs>
        <w:spacing w:after="0" w:line="240" w:lineRule="auto"/>
        <w:ind w:left="270" w:hanging="270"/>
        <w:rPr>
          <w:rFonts w:ascii="Times New Roman" w:hAnsi="Times New Roman" w:cs="Times New Roman"/>
          <w:sz w:val="24"/>
          <w:szCs w:val="24"/>
        </w:rPr>
      </w:pPr>
      <w:r w:rsidRPr="004A2BD0">
        <w:rPr>
          <w:rFonts w:ascii="Times New Roman" w:hAnsi="Times New Roman" w:cs="Times New Roman"/>
          <w:sz w:val="24"/>
          <w:szCs w:val="24"/>
        </w:rPr>
        <w:t xml:space="preserve">• </w:t>
      </w:r>
      <w:r w:rsidR="00D13019">
        <w:rPr>
          <w:rFonts w:ascii="Times New Roman" w:hAnsi="Times New Roman" w:cs="Times New Roman"/>
          <w:sz w:val="24"/>
          <w:szCs w:val="24"/>
        </w:rPr>
        <w:tab/>
      </w:r>
      <w:r w:rsidRPr="004A2BD0">
        <w:rPr>
          <w:rFonts w:ascii="Times New Roman" w:hAnsi="Times New Roman" w:cs="Times New Roman"/>
          <w:sz w:val="24"/>
          <w:szCs w:val="24"/>
        </w:rPr>
        <w:t>Fees realized when a commitment is arranged directly between a permanent investor and a borrower (Statement 62).</w:t>
      </w:r>
    </w:p>
    <w:p w:rsidR="004A2BD0" w:rsidRPr="004A2BD0" w:rsidRDefault="004A2BD0" w:rsidP="004A2BD0">
      <w:pPr>
        <w:spacing w:after="0" w:line="240" w:lineRule="auto"/>
        <w:rPr>
          <w:rFonts w:ascii="Times New Roman" w:hAnsi="Times New Roman" w:cs="Times New Roman"/>
          <w:sz w:val="24"/>
          <w:szCs w:val="24"/>
        </w:rPr>
      </w:pPr>
    </w:p>
    <w:p w:rsidR="004A2BD0" w:rsidRPr="00D13019" w:rsidRDefault="004A2BD0" w:rsidP="004A2BD0">
      <w:pPr>
        <w:spacing w:after="0" w:line="240" w:lineRule="auto"/>
        <w:rPr>
          <w:rFonts w:ascii="Times New Roman" w:hAnsi="Times New Roman" w:cs="Times New Roman"/>
          <w:b/>
          <w:i/>
          <w:sz w:val="24"/>
          <w:szCs w:val="24"/>
        </w:rPr>
      </w:pPr>
      <w:r w:rsidRPr="00D13019">
        <w:rPr>
          <w:rFonts w:ascii="Times New Roman" w:hAnsi="Times New Roman" w:cs="Times New Roman"/>
          <w:b/>
          <w:i/>
          <w:sz w:val="24"/>
          <w:szCs w:val="24"/>
        </w:rPr>
        <w:t>Financial Condition Reporting—Fiscal Sustainability</w:t>
      </w: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discussed which basis or bases of accounting to use when projecting fiscal sustainability information and whether to include governmental activities, business-type activities, and component units when projecting fiscal sustainability information. The Board also discussed how to determine what is a “major” inflow of resources, outflow of resources, and financial obligation in relation to the specific measures of fiscal sustainability.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reached a tentative agreement that the cash basis of accounting would be used when projecting cash inflows and cash outflows. The Board also reached a tentative agreement that the accrual basis of accounting would be used when projecting financial obligations. Further, the Board reached a tentative agreement that the reported fiscal sustainability information would include notes to explain those instances when the reported inflows and outflows on the cash basis does not reflect the full extent of the impacts on a governmental entity’s fiscal sustainability.</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reached a tentative agreement that fiscal sustainability information would be reported for the primary government, including both governmental activities and business-type activities with net subtotals (cash inflows less cash outflows) for governmental activities and business-type activities and a net total for the entire primary government. The Board also reached a tentative agreement that note disclosures within required supplementary information are necessary in instances when one or more activities are determined to significantly affect (positively or negatively) the fiscal sustainability of the primary government.</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Board reached a tentative agreement that governmental entities would not be required to report fiscal sustainability information about their discretely presented component units.</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Finally, the Board reached a tentative agreement that in order for an individual cash inflow, cash outflow, and financial obligation to be considered “major,” it needs to represent at least 10 percent of total cash inflows, cash outflows, and financial obligations, respectively. The Board also reached a tentative agreement that any other cash inflow, cash outflow, and financial obligation that government officials believe is particularly important to users when making an assessment of a governmental entity’s fiscal sustainability would be reported as major.</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1654C6" w:rsidRDefault="001654C6" w:rsidP="001654C6">
      <w:pPr>
        <w:spacing w:after="0" w:line="240" w:lineRule="auto"/>
        <w:rPr>
          <w:rFonts w:ascii="Times New Roman" w:hAnsi="Times New Roman"/>
        </w:rPr>
      </w:pPr>
    </w:p>
    <w:p w:rsidR="001654C6" w:rsidRDefault="001654C6" w:rsidP="001654C6">
      <w:pPr>
        <w:spacing w:after="0" w:line="240" w:lineRule="auto"/>
        <w:rPr>
          <w:rFonts w:ascii="Times New Roman" w:hAnsi="Times New Roman"/>
        </w:rPr>
      </w:pPr>
    </w:p>
    <w:p w:rsidR="001654C6" w:rsidRDefault="001654C6" w:rsidP="001654C6">
      <w:pPr>
        <w:spacing w:after="0" w:line="240" w:lineRule="auto"/>
        <w:rPr>
          <w:rFonts w:ascii="Times New Roman" w:hAnsi="Times New Roman"/>
          <w:b/>
          <w:i/>
          <w:sz w:val="36"/>
          <w:szCs w:val="36"/>
        </w:rPr>
        <w:sectPr w:rsidR="001654C6" w:rsidSect="001654C6">
          <w:pgSz w:w="12240" w:h="15840"/>
          <w:pgMar w:top="1440" w:right="1440" w:bottom="1440" w:left="1440" w:header="720" w:footer="720" w:gutter="0"/>
          <w:cols w:space="720"/>
          <w:docGrid w:linePitch="360"/>
        </w:sectPr>
      </w:pPr>
    </w:p>
    <w:p w:rsidR="001654C6" w:rsidRPr="00C1468D" w:rsidRDefault="001654C6" w:rsidP="001654C6">
      <w:pPr>
        <w:pStyle w:val="BodyText2"/>
      </w:pPr>
      <w:r w:rsidRPr="00C1468D">
        <w:lastRenderedPageBreak/>
        <w:t>An overview of the GASB’s current technical agenda</w:t>
      </w:r>
    </w:p>
    <w:p w:rsidR="001654C6" w:rsidRPr="00C1468D" w:rsidRDefault="001654C6" w:rsidP="001654C6">
      <w:pPr>
        <w:spacing w:after="0" w:line="240" w:lineRule="auto"/>
        <w:rPr>
          <w:rFonts w:ascii="Times New Roman" w:hAnsi="Times New Roman"/>
        </w:rPr>
      </w:pPr>
    </w:p>
    <w:p w:rsidR="001654C6" w:rsidRPr="00C1468D" w:rsidRDefault="001654C6" w:rsidP="001654C6">
      <w:pPr>
        <w:spacing w:after="0" w:line="240" w:lineRule="auto"/>
        <w:rPr>
          <w:rFonts w:ascii="Times New Roman" w:hAnsi="Times New Roman"/>
        </w:rPr>
      </w:pPr>
    </w:p>
    <w:p w:rsidR="001654C6" w:rsidRPr="00C1468D" w:rsidRDefault="001654C6" w:rsidP="001654C6">
      <w:pPr>
        <w:pBdr>
          <w:top w:val="single" w:sz="24" w:space="0" w:color="auto"/>
        </w:pBdr>
        <w:tabs>
          <w:tab w:val="left" w:pos="360"/>
        </w:tabs>
        <w:spacing w:after="0" w:line="240" w:lineRule="auto"/>
        <w:jc w:val="both"/>
        <w:rPr>
          <w:rFonts w:ascii="Times New Roman" w:hAnsi="Times New Roman"/>
          <w:b/>
          <w:bCs/>
          <w:i/>
          <w:iCs/>
          <w:sz w:val="28"/>
        </w:rPr>
      </w:pPr>
    </w:p>
    <w:p w:rsidR="001654C6" w:rsidRPr="00C1468D" w:rsidRDefault="001654C6" w:rsidP="001654C6">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Pr>
          <w:rFonts w:ascii="Times New Roman" w:hAnsi="Times New Roman"/>
        </w:rPr>
        <w:t>4</w:t>
      </w:r>
      <w:r w:rsidRPr="00C1468D">
        <w:rPr>
          <w:rFonts w:ascii="Times New Roman" w:hAnsi="Times New Roman"/>
        </w:rPr>
        <w:t>/</w:t>
      </w:r>
      <w:r>
        <w:rPr>
          <w:rFonts w:ascii="Times New Roman" w:hAnsi="Times New Roman"/>
        </w:rPr>
        <w:t>30</w:t>
      </w:r>
      <w:r w:rsidRPr="00C1468D">
        <w:rPr>
          <w:rFonts w:ascii="Times New Roman" w:hAnsi="Times New Roman"/>
        </w:rPr>
        <w:t>/</w:t>
      </w:r>
      <w:r>
        <w:rPr>
          <w:rFonts w:ascii="Times New Roman" w:hAnsi="Times New Roman"/>
        </w:rPr>
        <w:t>11</w:t>
      </w:r>
      <w:r w:rsidRPr="00C1468D">
        <w:rPr>
          <w:rFonts w:ascii="Times New Roman" w:hAnsi="Times New Roman"/>
        </w:rPr>
        <w:t>)</w:t>
      </w:r>
    </w:p>
    <w:p w:rsidR="001654C6" w:rsidRPr="00C1468D" w:rsidRDefault="001654C6" w:rsidP="001654C6">
      <w:pPr>
        <w:pBdr>
          <w:top w:val="single" w:sz="4" w:space="1" w:color="auto"/>
        </w:pBdr>
        <w:tabs>
          <w:tab w:val="left" w:pos="360"/>
        </w:tabs>
        <w:spacing w:after="0" w:line="240" w:lineRule="auto"/>
        <w:jc w:val="both"/>
        <w:rPr>
          <w:rFonts w:ascii="Times New Roman" w:hAnsi="Times New Roman"/>
          <w:b/>
          <w:bCs/>
        </w:rPr>
      </w:pPr>
    </w:p>
    <w:p w:rsidR="001654C6" w:rsidRPr="00C1468D" w:rsidRDefault="001654C6" w:rsidP="001654C6">
      <w:pPr>
        <w:tabs>
          <w:tab w:val="left" w:pos="2880"/>
          <w:tab w:val="left" w:pos="567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Issued</w:t>
      </w:r>
      <w:r w:rsidRPr="00C1468D">
        <w:rPr>
          <w:rFonts w:ascii="Times New Roman" w:hAnsi="Times New Roman"/>
          <w:b/>
          <w:bCs/>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Pr>
          <w:rFonts w:ascii="Times New Roman" w:hAnsi="Times New Roman"/>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1654C6" w:rsidRPr="00C1468D" w:rsidRDefault="001654C6" w:rsidP="001654C6">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Pr>
          <w:rFonts w:ascii="Times New Roman" w:hAnsi="Times New Roman"/>
          <w:b/>
          <w:bCs/>
        </w:rPr>
        <w:tab/>
      </w:r>
      <w:r w:rsidRPr="00C1468D">
        <w:rPr>
          <w:rFonts w:ascii="Times New Roman" w:hAnsi="Times New Roman"/>
          <w:b/>
          <w:bCs/>
        </w:rPr>
        <w:t>ITC/PV</w:t>
      </w:r>
      <w:r>
        <w:rPr>
          <w:rFonts w:ascii="Times New Roman" w:hAnsi="Times New Roman"/>
          <w:b/>
          <w:bCs/>
        </w:rPr>
        <w:tab/>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1654C6" w:rsidRPr="00C1468D" w:rsidRDefault="001654C6" w:rsidP="001654C6">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1654C6" w:rsidRPr="0085502A" w:rsidRDefault="001654C6" w:rsidP="001654C6">
      <w:pPr>
        <w:shd w:val="clear" w:color="auto" w:fill="D9D9D9"/>
        <w:tabs>
          <w:tab w:val="left" w:pos="360"/>
          <w:tab w:val="left" w:pos="3960"/>
          <w:tab w:val="left" w:pos="4950"/>
          <w:tab w:val="left" w:pos="5850"/>
          <w:tab w:val="left" w:pos="7020"/>
          <w:tab w:val="left" w:pos="7830"/>
          <w:tab w:val="left" w:pos="8460"/>
          <w:tab w:val="left" w:pos="10800"/>
        </w:tabs>
        <w:spacing w:after="0" w:line="240" w:lineRule="auto"/>
        <w:rPr>
          <w:rFonts w:ascii="Times New Roman" w:hAnsi="Times New Roman"/>
          <w:sz w:val="20"/>
          <w:szCs w:val="20"/>
        </w:rPr>
      </w:pPr>
      <w:r w:rsidRPr="0085502A">
        <w:rPr>
          <w:rFonts w:ascii="Times New Roman" w:hAnsi="Times New Roman"/>
          <w:sz w:val="20"/>
          <w:szCs w:val="20"/>
        </w:rPr>
        <w:t>Conceptual Framework—Recognition</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2</w:t>
      </w:r>
      <w:r w:rsidRPr="0085502A">
        <w:rPr>
          <w:rFonts w:ascii="Times New Roman" w:hAnsi="Times New Roman"/>
          <w:sz w:val="20"/>
          <w:szCs w:val="20"/>
        </w:rPr>
        <w:t>Q</w:t>
      </w:r>
      <w:r>
        <w:rPr>
          <w:rFonts w:ascii="Times New Roman" w:hAnsi="Times New Roman"/>
          <w:sz w:val="20"/>
          <w:szCs w:val="20"/>
        </w:rPr>
        <w:t>11</w:t>
      </w:r>
      <w:r>
        <w:rPr>
          <w:rFonts w:ascii="Times New Roman" w:hAnsi="Times New Roman"/>
          <w:sz w:val="20"/>
          <w:szCs w:val="20"/>
        </w:rPr>
        <w:tab/>
        <w:t>2</w:t>
      </w:r>
      <w:r w:rsidRPr="0085502A">
        <w:rPr>
          <w:rFonts w:ascii="Times New Roman" w:hAnsi="Times New Roman"/>
          <w:sz w:val="20"/>
          <w:szCs w:val="20"/>
        </w:rPr>
        <w:t>Q1</w:t>
      </w:r>
      <w:r>
        <w:rPr>
          <w:rFonts w:ascii="Times New Roman" w:hAnsi="Times New Roman"/>
          <w:sz w:val="20"/>
          <w:szCs w:val="20"/>
        </w:rPr>
        <w:t>2</w:t>
      </w:r>
      <w:r>
        <w:rPr>
          <w:rFonts w:ascii="Times New Roman" w:hAnsi="Times New Roman"/>
          <w:sz w:val="20"/>
          <w:szCs w:val="20"/>
        </w:rPr>
        <w:tab/>
        <w:t>1</w:t>
      </w:r>
      <w:r w:rsidRPr="0085502A">
        <w:rPr>
          <w:rFonts w:ascii="Times New Roman" w:hAnsi="Times New Roman"/>
          <w:sz w:val="20"/>
          <w:szCs w:val="20"/>
        </w:rPr>
        <w:t>Q</w:t>
      </w:r>
      <w:r>
        <w:rPr>
          <w:rFonts w:ascii="Times New Roman" w:hAnsi="Times New Roman"/>
          <w:sz w:val="20"/>
          <w:szCs w:val="20"/>
        </w:rPr>
        <w:t>13</w:t>
      </w:r>
      <w:r>
        <w:rPr>
          <w:rFonts w:ascii="Times New Roman" w:hAnsi="Times New Roman"/>
          <w:sz w:val="20"/>
          <w:szCs w:val="20"/>
        </w:rPr>
        <w:tab/>
        <w:t>Roberta Reese</w:t>
      </w:r>
      <w:r>
        <w:rPr>
          <w:rFonts w:ascii="Times New Roman" w:hAnsi="Times New Roman"/>
          <w:sz w:val="20"/>
          <w:szCs w:val="20"/>
        </w:rPr>
        <w:tab/>
        <w:t>324</w:t>
      </w:r>
    </w:p>
    <w:p w:rsidR="001654C6" w:rsidRPr="0085502A"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r w:rsidRPr="0085502A">
        <w:rPr>
          <w:rFonts w:ascii="Times New Roman" w:hAnsi="Times New Roman"/>
          <w:sz w:val="20"/>
          <w:szCs w:val="20"/>
        </w:rPr>
        <w:t xml:space="preserve">and Measurement Attributes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85502A">
        <w:rPr>
          <w:rFonts w:ascii="Times New Roman" w:hAnsi="Times New Roman"/>
          <w:sz w:val="20"/>
          <w:szCs w:val="20"/>
        </w:rPr>
        <w:t>Ken Schermann</w:t>
      </w:r>
      <w:r w:rsidRPr="0085502A">
        <w:rPr>
          <w:rFonts w:ascii="Times New Roman" w:hAnsi="Times New Roman"/>
          <w:sz w:val="20"/>
          <w:szCs w:val="20"/>
        </w:rPr>
        <w:tab/>
        <w:t>206</w:t>
      </w:r>
    </w:p>
    <w:p w:rsid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Kathryn Price</w:t>
      </w:r>
      <w:r w:rsidRPr="0085502A">
        <w:rPr>
          <w:rFonts w:ascii="Times New Roman" w:hAnsi="Times New Roman"/>
          <w:sz w:val="20"/>
          <w:szCs w:val="20"/>
        </w:rPr>
        <w:tab/>
      </w:r>
      <w:r>
        <w:rPr>
          <w:rFonts w:ascii="Times New Roman" w:hAnsi="Times New Roman"/>
          <w:sz w:val="20"/>
          <w:szCs w:val="20"/>
        </w:rPr>
        <w:t>303</w:t>
      </w:r>
    </w:p>
    <w:p w:rsidR="001654C6" w:rsidRPr="0085502A" w:rsidRDefault="001654C6" w:rsidP="001654C6">
      <w:pPr>
        <w:tabs>
          <w:tab w:val="left" w:pos="36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20"/>
          <w:szCs w:val="20"/>
        </w:rPr>
      </w:pPr>
      <w:r>
        <w:rPr>
          <w:rFonts w:ascii="Times New Roman" w:hAnsi="Times New Roman"/>
          <w:sz w:val="20"/>
          <w:szCs w:val="20"/>
        </w:rPr>
        <w:t>Economic Condition Reporting—</w:t>
      </w:r>
      <w:r>
        <w:rPr>
          <w:rFonts w:ascii="Times New Roman" w:hAnsi="Times New Roman"/>
          <w:sz w:val="20"/>
          <w:szCs w:val="20"/>
        </w:rPr>
        <w:tab/>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4Q11</w:t>
      </w:r>
      <w:r>
        <w:rPr>
          <w:rFonts w:ascii="Times New Roman" w:hAnsi="Times New Roman"/>
          <w:sz w:val="20"/>
          <w:szCs w:val="20"/>
        </w:rPr>
        <w:tab/>
        <w:t>4Q12</w:t>
      </w:r>
      <w:r>
        <w:rPr>
          <w:rFonts w:ascii="Times New Roman" w:hAnsi="Times New Roman"/>
          <w:sz w:val="20"/>
          <w:szCs w:val="20"/>
        </w:rPr>
        <w:tab/>
        <w:t>3Q13</w:t>
      </w:r>
      <w:r>
        <w:rPr>
          <w:rFonts w:ascii="Times New Roman" w:hAnsi="Times New Roman"/>
          <w:sz w:val="20"/>
          <w:szCs w:val="20"/>
        </w:rPr>
        <w:tab/>
        <w:t>Lisa Parker</w:t>
      </w:r>
      <w:r w:rsidRPr="00610E16">
        <w:rPr>
          <w:rFonts w:ascii="Times New Roman" w:hAnsi="Times New Roman"/>
          <w:sz w:val="20"/>
        </w:rPr>
        <w:tab/>
      </w:r>
      <w:r>
        <w:rPr>
          <w:rFonts w:ascii="Times New Roman" w:hAnsi="Times New Roman"/>
          <w:sz w:val="20"/>
        </w:rPr>
        <w:t>351</w:t>
      </w:r>
    </w:p>
    <w:p w:rsidR="001654C6" w:rsidRPr="00610E16" w:rsidRDefault="001654C6" w:rsidP="001654C6">
      <w:pPr>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rPr>
      </w:pPr>
      <w:r>
        <w:rPr>
          <w:rFonts w:ascii="Times New Roman" w:hAnsi="Times New Roman"/>
          <w:sz w:val="20"/>
          <w:szCs w:val="20"/>
        </w:rPr>
        <w:t xml:space="preserve">  Fiscal Sustainability</w:t>
      </w:r>
      <w:r w:rsidRPr="0085502A">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rPr>
        <w:tab/>
      </w:r>
      <w:r>
        <w:rPr>
          <w:rFonts w:ascii="Times New Roman" w:hAnsi="Times New Roman"/>
          <w:sz w:val="20"/>
        </w:rPr>
        <w:tab/>
        <w:t>Dean Mead</w:t>
      </w:r>
      <w:r w:rsidRPr="00610E16">
        <w:rPr>
          <w:rFonts w:ascii="Times New Roman" w:hAnsi="Times New Roman"/>
          <w:sz w:val="20"/>
        </w:rPr>
        <w:tab/>
      </w:r>
      <w:r>
        <w:rPr>
          <w:rFonts w:ascii="Times New Roman" w:hAnsi="Times New Roman"/>
          <w:sz w:val="20"/>
        </w:rPr>
        <w:t>294</w:t>
      </w:r>
    </w:p>
    <w:p w:rsidR="001654C6" w:rsidRPr="00610E16" w:rsidRDefault="001654C6" w:rsidP="001654C6">
      <w:pPr>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524002">
        <w:rPr>
          <w:rFonts w:ascii="Times New Roman" w:hAnsi="Times New Roman"/>
          <w:sz w:val="20"/>
          <w:szCs w:val="20"/>
        </w:rPr>
        <w:t>Janna Lovell</w:t>
      </w:r>
      <w:r w:rsidRPr="00610E16">
        <w:rPr>
          <w:rFonts w:ascii="Times New Roman" w:hAnsi="Times New Roman"/>
          <w:sz w:val="20"/>
        </w:rPr>
        <w:tab/>
      </w:r>
      <w:r w:rsidR="00524002">
        <w:rPr>
          <w:rFonts w:ascii="Times New Roman" w:hAnsi="Times New Roman"/>
          <w:sz w:val="20"/>
        </w:rPr>
        <w:t>261</w:t>
      </w:r>
    </w:p>
    <w:p w:rsidR="001654C6" w:rsidRDefault="001654C6" w:rsidP="001654C6">
      <w:pPr>
        <w:tabs>
          <w:tab w:val="left" w:pos="36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Jay Fountain</w:t>
      </w:r>
      <w:r>
        <w:rPr>
          <w:rFonts w:ascii="Times New Roman" w:hAnsi="Times New Roman"/>
          <w:sz w:val="20"/>
        </w:rPr>
        <w:tab/>
        <w:t>(consultant)</w:t>
      </w:r>
    </w:p>
    <w:p w:rsidR="001654C6" w:rsidRPr="00610E16" w:rsidRDefault="001654C6" w:rsidP="001654C6">
      <w:pPr>
        <w:tabs>
          <w:tab w:val="left" w:pos="36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sz w:val="20"/>
        </w:rPr>
      </w:pPr>
    </w:p>
    <w:p w:rsidR="001654C6" w:rsidRPr="0085502A"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Financial Guarantees</w:t>
      </w:r>
      <w:r>
        <w:rPr>
          <w:rFonts w:ascii="Times New Roman" w:hAnsi="Times New Roman"/>
          <w:sz w:val="20"/>
          <w:szCs w:val="20"/>
        </w:rPr>
        <w:tab/>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w:t>
      </w:r>
      <w:r>
        <w:rPr>
          <w:rFonts w:ascii="Times New Roman" w:hAnsi="Times New Roman"/>
          <w:sz w:val="20"/>
          <w:szCs w:val="20"/>
        </w:rPr>
        <w:tab/>
      </w:r>
      <w:r>
        <w:rPr>
          <w:rFonts w:ascii="Times New Roman" w:hAnsi="Times New Roman"/>
          <w:sz w:val="20"/>
          <w:szCs w:val="20"/>
        </w:rPr>
        <w:tab/>
        <w:t>2Q12</w:t>
      </w:r>
      <w:r>
        <w:rPr>
          <w:rFonts w:ascii="Times New Roman" w:hAnsi="Times New Roman"/>
          <w:sz w:val="20"/>
          <w:szCs w:val="20"/>
        </w:rPr>
        <w:tab/>
        <w:t>4Q12</w:t>
      </w:r>
      <w:r>
        <w:rPr>
          <w:rFonts w:ascii="Times New Roman" w:hAnsi="Times New Roman"/>
          <w:sz w:val="20"/>
          <w:szCs w:val="20"/>
        </w:rPr>
        <w:tab/>
        <w:t>Scott Reeser</w:t>
      </w:r>
      <w:r>
        <w:rPr>
          <w:rFonts w:ascii="Times New Roman" w:hAnsi="Times New Roman"/>
          <w:sz w:val="20"/>
          <w:szCs w:val="20"/>
        </w:rPr>
        <w:tab/>
        <w:t>448</w:t>
      </w:r>
    </w:p>
    <w:p w:rsidR="001654C6" w:rsidRPr="0059028D"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t>Randy Finden</w:t>
      </w:r>
      <w:r w:rsidRPr="0059028D">
        <w:rPr>
          <w:rFonts w:ascii="Times New Roman" w:hAnsi="Times New Roman"/>
          <w:sz w:val="20"/>
          <w:szCs w:val="20"/>
        </w:rPr>
        <w:tab/>
      </w:r>
      <w:r>
        <w:rPr>
          <w:rFonts w:ascii="Times New Roman" w:hAnsi="Times New Roman"/>
          <w:sz w:val="20"/>
          <w:szCs w:val="20"/>
        </w:rPr>
        <w:t>240</w:t>
      </w:r>
    </w:p>
    <w:p w:rsidR="001654C6" w:rsidRPr="0059028D"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t>Kathryn Price</w:t>
      </w:r>
      <w:r>
        <w:rPr>
          <w:rFonts w:ascii="Times New Roman" w:hAnsi="Times New Roman"/>
          <w:sz w:val="20"/>
          <w:szCs w:val="20"/>
        </w:rPr>
        <w:tab/>
        <w:t>303</w:t>
      </w:r>
    </w:p>
    <w:p w:rsidR="001654C6" w:rsidRPr="0059028D"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t>Lyra Burgess</w:t>
      </w:r>
      <w:r>
        <w:rPr>
          <w:rFonts w:ascii="Times New Roman" w:hAnsi="Times New Roman"/>
          <w:sz w:val="20"/>
          <w:szCs w:val="20"/>
        </w:rPr>
        <w:tab/>
        <w:t>309</w:t>
      </w:r>
    </w:p>
    <w:p w:rsidR="001654C6" w:rsidRPr="0085502A" w:rsidRDefault="001654C6" w:rsidP="001654C6">
      <w:pPr>
        <w:tabs>
          <w:tab w:val="left" w:pos="360"/>
          <w:tab w:val="left" w:pos="3960"/>
          <w:tab w:val="left" w:pos="4950"/>
          <w:tab w:val="left" w:pos="5850"/>
          <w:tab w:val="left" w:pos="7020"/>
          <w:tab w:val="left" w:pos="7830"/>
          <w:tab w:val="left" w:pos="8460"/>
          <w:tab w:val="left" w:pos="10800"/>
        </w:tabs>
        <w:spacing w:before="120" w:after="0" w:line="240" w:lineRule="auto"/>
        <w:rPr>
          <w:rFonts w:ascii="Times New Roman" w:hAnsi="Times New Roman"/>
          <w:sz w:val="20"/>
          <w:szCs w:val="20"/>
        </w:rPr>
      </w:pPr>
      <w:r>
        <w:rPr>
          <w:rFonts w:ascii="Times New Roman" w:hAnsi="Times New Roman"/>
          <w:sz w:val="20"/>
          <w:szCs w:val="20"/>
        </w:rPr>
        <w:t>Government Combinations</w:t>
      </w:r>
      <w:r>
        <w:rPr>
          <w:rFonts w:ascii="Times New Roman" w:hAnsi="Times New Roman"/>
          <w:sz w:val="20"/>
          <w:szCs w:val="20"/>
        </w:rPr>
        <w:tab/>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w:t>
      </w:r>
      <w:r>
        <w:rPr>
          <w:rFonts w:ascii="Times New Roman" w:hAnsi="Times New Roman"/>
          <w:sz w:val="20"/>
          <w:szCs w:val="20"/>
        </w:rPr>
        <w:tab/>
        <w:t>2Q12</w:t>
      </w:r>
      <w:r>
        <w:rPr>
          <w:rFonts w:ascii="Times New Roman" w:hAnsi="Times New Roman"/>
          <w:sz w:val="20"/>
          <w:szCs w:val="20"/>
        </w:rPr>
        <w:tab/>
        <w:t>1Q13</w:t>
      </w:r>
      <w:r>
        <w:rPr>
          <w:rFonts w:ascii="Times New Roman" w:hAnsi="Times New Roman"/>
          <w:sz w:val="20"/>
          <w:szCs w:val="20"/>
        </w:rPr>
        <w:tab/>
        <w:t>Jeff Bridgens</w:t>
      </w:r>
      <w:r>
        <w:rPr>
          <w:rFonts w:ascii="Times New Roman" w:hAnsi="Times New Roman"/>
          <w:sz w:val="20"/>
          <w:szCs w:val="20"/>
        </w:rPr>
        <w:tab/>
        <w:t>210</w:t>
      </w:r>
    </w:p>
    <w:p w:rsidR="001654C6" w:rsidRPr="0059028D" w:rsidRDefault="001654C6" w:rsidP="001654C6">
      <w:pPr>
        <w:tabs>
          <w:tab w:val="left" w:pos="360"/>
          <w:tab w:val="left" w:pos="3960"/>
          <w:tab w:val="left" w:pos="4950"/>
          <w:tab w:val="left" w:pos="585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Roberta Reese</w:t>
      </w:r>
      <w:r w:rsidRPr="0059028D">
        <w:rPr>
          <w:rFonts w:ascii="Times New Roman" w:hAnsi="Times New Roman"/>
          <w:sz w:val="20"/>
          <w:szCs w:val="20"/>
        </w:rPr>
        <w:tab/>
        <w:t>324</w:t>
      </w:r>
    </w:p>
    <w:p w:rsidR="001654C6" w:rsidRPr="0059028D" w:rsidRDefault="001654C6" w:rsidP="001654C6">
      <w:pPr>
        <w:tabs>
          <w:tab w:val="left" w:pos="360"/>
          <w:tab w:val="left" w:pos="3960"/>
          <w:tab w:val="left" w:pos="4950"/>
          <w:tab w:val="left" w:pos="5850"/>
          <w:tab w:val="left" w:pos="7020"/>
          <w:tab w:val="left" w:pos="783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t>Kathryn Price</w:t>
      </w:r>
      <w:r>
        <w:rPr>
          <w:rFonts w:ascii="Times New Roman" w:hAnsi="Times New Roman"/>
          <w:sz w:val="20"/>
          <w:szCs w:val="20"/>
        </w:rPr>
        <w:tab/>
        <w:t>303</w:t>
      </w:r>
    </w:p>
    <w:p w:rsidR="001654C6" w:rsidRDefault="001654C6" w:rsidP="001654C6">
      <w:pPr>
        <w:tabs>
          <w:tab w:val="left" w:pos="360"/>
          <w:tab w:val="left" w:pos="3960"/>
          <w:tab w:val="left" w:pos="4950"/>
          <w:tab w:val="left" w:pos="5850"/>
          <w:tab w:val="left" w:pos="7020"/>
          <w:tab w:val="left" w:pos="783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t>Ken Schermann</w:t>
      </w:r>
      <w:r>
        <w:rPr>
          <w:rFonts w:ascii="Times New Roman" w:hAnsi="Times New Roman"/>
          <w:sz w:val="20"/>
          <w:szCs w:val="20"/>
        </w:rPr>
        <w:tab/>
        <w:t>206</w:t>
      </w:r>
    </w:p>
    <w:p w:rsidR="001654C6" w:rsidRPr="0059028D" w:rsidRDefault="001654C6" w:rsidP="001654C6">
      <w:pPr>
        <w:tabs>
          <w:tab w:val="left" w:pos="360"/>
          <w:tab w:val="left" w:pos="3960"/>
          <w:tab w:val="left" w:pos="4950"/>
          <w:tab w:val="left" w:pos="5850"/>
          <w:tab w:val="left" w:pos="7020"/>
          <w:tab w:val="left" w:pos="7830"/>
          <w:tab w:val="left" w:pos="8460"/>
          <w:tab w:val="left" w:pos="10800"/>
        </w:tabs>
        <w:spacing w:after="0" w:line="240" w:lineRule="auto"/>
        <w:rPr>
          <w:rFonts w:ascii="Times New Roman" w:hAnsi="Times New Roman"/>
          <w:sz w:val="20"/>
          <w:szCs w:val="20"/>
        </w:rPr>
      </w:pPr>
    </w:p>
    <w:p w:rsidR="001654C6" w:rsidRPr="0085502A"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85502A">
        <w:rPr>
          <w:rFonts w:ascii="Times New Roman" w:hAnsi="Times New Roman"/>
          <w:sz w:val="20"/>
          <w:szCs w:val="20"/>
        </w:rPr>
        <w:t>Postemployment Benefits Accounting</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Michelle Czerkawski</w:t>
      </w:r>
      <w:r w:rsidRPr="0059028D">
        <w:rPr>
          <w:rFonts w:ascii="Times New Roman" w:hAnsi="Times New Roman"/>
          <w:sz w:val="20"/>
          <w:szCs w:val="20"/>
        </w:rPr>
        <w:tab/>
        <w:t>293</w:t>
      </w:r>
    </w:p>
    <w:p w:rsidR="001654C6" w:rsidRP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1654C6">
        <w:rPr>
          <w:rFonts w:ascii="Times New Roman" w:hAnsi="Times New Roman"/>
          <w:sz w:val="20"/>
          <w:szCs w:val="20"/>
        </w:rPr>
        <w:t xml:space="preserve">  and Financial Reporting: </w:t>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t>Scott Reeser</w:t>
      </w:r>
      <w:r w:rsidRPr="001654C6">
        <w:rPr>
          <w:rFonts w:ascii="Times New Roman" w:hAnsi="Times New Roman"/>
          <w:sz w:val="20"/>
          <w:szCs w:val="20"/>
        </w:rPr>
        <w:tab/>
        <w:t>448</w:t>
      </w:r>
    </w:p>
    <w:p w:rsid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1654C6">
        <w:rPr>
          <w:rFonts w:ascii="Times New Roman" w:hAnsi="Times New Roman"/>
          <w:sz w:val="20"/>
          <w:szCs w:val="20"/>
        </w:rPr>
        <w:tab/>
      </w:r>
      <w:r>
        <w:rPr>
          <w:rFonts w:ascii="Times New Roman" w:hAnsi="Times New Roman"/>
          <w:sz w:val="20"/>
          <w:szCs w:val="20"/>
        </w:rPr>
        <w:t>Other Postemployment Benefits</w:t>
      </w:r>
      <w:r w:rsidR="00D4295A" w:rsidRPr="001654C6">
        <w:rPr>
          <w:rFonts w:ascii="Times New Roman" w:hAnsi="Times New Roman"/>
          <w:sz w:val="20"/>
          <w:szCs w:val="20"/>
        </w:rPr>
        <w:tab/>
      </w:r>
      <w:r w:rsidR="0025763F">
        <w:rPr>
          <w:rFonts w:ascii="Times New Roman" w:hAnsi="Times New Roman" w:cs="Times New Roman"/>
          <w:sz w:val="20"/>
          <w:szCs w:val="20"/>
        </w:rPr>
        <w:t>—</w:t>
      </w:r>
      <w:r w:rsidR="0025763F">
        <w:rPr>
          <w:rFonts w:ascii="Times New Roman" w:hAnsi="Times New Roman"/>
          <w:sz w:val="20"/>
          <w:szCs w:val="20"/>
        </w:rPr>
        <w:tab/>
      </w:r>
      <w:r w:rsidR="0025763F">
        <w:rPr>
          <w:rFonts w:ascii="Times New Roman" w:hAnsi="Times New Roman" w:cs="Times New Roman"/>
          <w:sz w:val="20"/>
          <w:szCs w:val="20"/>
        </w:rPr>
        <w:t>—</w:t>
      </w:r>
      <w:r w:rsidR="00D4295A" w:rsidRPr="001654C6">
        <w:rPr>
          <w:rFonts w:ascii="Times New Roman" w:hAnsi="Times New Roman"/>
          <w:sz w:val="20"/>
          <w:szCs w:val="20"/>
        </w:rPr>
        <w:tab/>
      </w:r>
      <w:r w:rsidR="0025763F">
        <w:rPr>
          <w:rFonts w:ascii="Times New Roman" w:hAnsi="Times New Roman" w:cs="Times New Roman"/>
          <w:sz w:val="20"/>
          <w:szCs w:val="20"/>
        </w:rPr>
        <w:t>—</w:t>
      </w:r>
      <w:r w:rsidR="00D4295A" w:rsidRPr="001654C6">
        <w:rPr>
          <w:rFonts w:ascii="Times New Roman" w:hAnsi="Times New Roman"/>
          <w:sz w:val="20"/>
          <w:szCs w:val="20"/>
        </w:rPr>
        <w:tab/>
      </w:r>
      <w:r w:rsidR="00D4295A" w:rsidRPr="001654C6">
        <w:rPr>
          <w:rFonts w:ascii="Times New Roman" w:hAnsi="Times New Roman"/>
          <w:sz w:val="20"/>
          <w:szCs w:val="20"/>
        </w:rPr>
        <w:tab/>
      </w:r>
      <w:r w:rsidR="0025763F">
        <w:rPr>
          <w:rFonts w:ascii="Times New Roman" w:hAnsi="Times New Roman"/>
          <w:sz w:val="20"/>
          <w:szCs w:val="20"/>
        </w:rPr>
        <w:t>2Q12</w:t>
      </w:r>
      <w:r w:rsidR="00D4295A" w:rsidRPr="001654C6">
        <w:rPr>
          <w:rFonts w:ascii="Times New Roman" w:hAnsi="Times New Roman"/>
          <w:sz w:val="20"/>
          <w:szCs w:val="20"/>
        </w:rPr>
        <w:tab/>
      </w:r>
      <w:r w:rsidR="0025763F">
        <w:rPr>
          <w:rFonts w:ascii="Times New Roman" w:hAnsi="Times New Roman"/>
          <w:sz w:val="20"/>
          <w:szCs w:val="20"/>
        </w:rPr>
        <w:t>2Q13</w:t>
      </w:r>
      <w:r w:rsidR="00D4295A" w:rsidRPr="001654C6">
        <w:rPr>
          <w:rFonts w:ascii="Times New Roman" w:hAnsi="Times New Roman"/>
          <w:sz w:val="20"/>
          <w:szCs w:val="20"/>
        </w:rPr>
        <w:tab/>
        <w:t>Jeff Bridgens</w:t>
      </w:r>
      <w:r w:rsidR="00D4295A" w:rsidRPr="001654C6">
        <w:rPr>
          <w:rFonts w:ascii="Times New Roman" w:hAnsi="Times New Roman"/>
          <w:sz w:val="20"/>
          <w:szCs w:val="20"/>
        </w:rPr>
        <w:tab/>
        <w:t>210</w:t>
      </w:r>
    </w:p>
    <w:p w:rsid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t xml:space="preserve">  Accounting and Financial</w:t>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t>Wesley Galloway</w:t>
      </w:r>
      <w:r w:rsidR="00D4295A">
        <w:rPr>
          <w:rFonts w:ascii="Times New Roman" w:hAnsi="Times New Roman"/>
          <w:sz w:val="20"/>
          <w:szCs w:val="20"/>
        </w:rPr>
        <w:tab/>
        <w:t>272</w:t>
      </w:r>
    </w:p>
    <w:p w:rsid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t xml:space="preserve">  Reporting</w:t>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t>Dean Mead</w:t>
      </w:r>
      <w:r w:rsidR="00D4295A">
        <w:rPr>
          <w:rFonts w:ascii="Times New Roman" w:hAnsi="Times New Roman"/>
          <w:sz w:val="20"/>
          <w:szCs w:val="20"/>
        </w:rPr>
        <w:tab/>
        <w:t>294</w:t>
      </w:r>
    </w:p>
    <w:p w:rsidR="00524002" w:rsidRDefault="00524002"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sidR="001654C6" w:rsidRPr="001654C6">
        <w:rPr>
          <w:rFonts w:ascii="Times New Roman" w:hAnsi="Times New Roman"/>
          <w:sz w:val="20"/>
          <w:szCs w:val="20"/>
        </w:rPr>
        <w:t>Pension Accounting and</w:t>
      </w:r>
      <w:r w:rsidRPr="001654C6">
        <w:rPr>
          <w:rFonts w:ascii="Times New Roman" w:hAnsi="Times New Roman"/>
          <w:sz w:val="20"/>
          <w:szCs w:val="20"/>
        </w:rPr>
        <w:tab/>
      </w:r>
      <w:r>
        <w:rPr>
          <w:rFonts w:ascii="Times New Roman" w:hAnsi="Times New Roman"/>
          <w:sz w:val="20"/>
          <w:szCs w:val="20"/>
        </w:rPr>
        <w:t>3/09</w:t>
      </w:r>
      <w:r w:rsidRPr="001654C6">
        <w:rPr>
          <w:rFonts w:ascii="Times New Roman" w:hAnsi="Times New Roman"/>
          <w:sz w:val="20"/>
          <w:szCs w:val="20"/>
        </w:rPr>
        <w:tab/>
      </w:r>
      <w:r>
        <w:rPr>
          <w:rFonts w:ascii="Times New Roman" w:hAnsi="Times New Roman" w:cs="Times New Roman"/>
          <w:sz w:val="20"/>
          <w:szCs w:val="20"/>
        </w:rPr>
        <w:t>—</w:t>
      </w:r>
      <w:r w:rsidRPr="001654C6">
        <w:rPr>
          <w:rFonts w:ascii="Times New Roman" w:hAnsi="Times New Roman"/>
          <w:sz w:val="20"/>
          <w:szCs w:val="20"/>
        </w:rPr>
        <w:tab/>
      </w:r>
      <w:r>
        <w:rPr>
          <w:rFonts w:ascii="Times New Roman" w:hAnsi="Times New Roman" w:cs="Times New Roman"/>
          <w:sz w:val="20"/>
          <w:szCs w:val="20"/>
        </w:rPr>
        <w:t>—</w:t>
      </w:r>
      <w:r w:rsidRPr="001654C6">
        <w:rPr>
          <w:rFonts w:ascii="Times New Roman" w:hAnsi="Times New Roman"/>
          <w:sz w:val="20"/>
          <w:szCs w:val="20"/>
        </w:rPr>
        <w:tab/>
      </w:r>
      <w:r w:rsidRPr="001654C6">
        <w:rPr>
          <w:rFonts w:ascii="Times New Roman" w:hAnsi="Times New Roman"/>
          <w:sz w:val="20"/>
          <w:szCs w:val="20"/>
        </w:rPr>
        <w:tab/>
      </w:r>
      <w:r>
        <w:rPr>
          <w:rFonts w:ascii="Times New Roman" w:hAnsi="Times New Roman"/>
          <w:sz w:val="20"/>
          <w:szCs w:val="20"/>
        </w:rPr>
        <w:t>2Q11</w:t>
      </w:r>
      <w:r w:rsidRPr="001654C6">
        <w:rPr>
          <w:rFonts w:ascii="Times New Roman" w:hAnsi="Times New Roman"/>
          <w:sz w:val="20"/>
          <w:szCs w:val="20"/>
        </w:rPr>
        <w:tab/>
      </w:r>
      <w:r>
        <w:rPr>
          <w:rFonts w:ascii="Times New Roman" w:hAnsi="Times New Roman"/>
          <w:sz w:val="20"/>
          <w:szCs w:val="20"/>
        </w:rPr>
        <w:t>2Q12</w:t>
      </w:r>
      <w:r w:rsidRPr="001654C6">
        <w:rPr>
          <w:rFonts w:ascii="Times New Roman" w:hAnsi="Times New Roman"/>
          <w:sz w:val="20"/>
          <w:szCs w:val="20"/>
        </w:rPr>
        <w:tab/>
        <w:t>Roberta Reese</w:t>
      </w:r>
      <w:r w:rsidRPr="001654C6">
        <w:rPr>
          <w:rFonts w:ascii="Times New Roman" w:hAnsi="Times New Roman"/>
          <w:sz w:val="20"/>
          <w:szCs w:val="20"/>
        </w:rPr>
        <w:tab/>
      </w:r>
      <w:r>
        <w:rPr>
          <w:rFonts w:ascii="Times New Roman" w:hAnsi="Times New Roman"/>
          <w:sz w:val="20"/>
          <w:szCs w:val="20"/>
        </w:rPr>
        <w:t>324</w:t>
      </w:r>
    </w:p>
    <w:p w:rsidR="001654C6" w:rsidRPr="001654C6" w:rsidRDefault="00524002"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sidRPr="001654C6">
        <w:rPr>
          <w:rFonts w:ascii="Times New Roman" w:hAnsi="Times New Roman"/>
          <w:sz w:val="20"/>
          <w:szCs w:val="20"/>
        </w:rPr>
        <w:t xml:space="preserve">  Financial Reporting</w:t>
      </w:r>
      <w:r w:rsidR="001654C6" w:rsidRPr="001654C6">
        <w:rPr>
          <w:rFonts w:ascii="Times New Roman" w:hAnsi="Times New Roman"/>
          <w:sz w:val="20"/>
          <w:szCs w:val="20"/>
        </w:rPr>
        <w:tab/>
      </w:r>
      <w:r>
        <w:rPr>
          <w:rFonts w:ascii="Times New Roman" w:hAnsi="Times New Roman"/>
          <w:sz w:val="20"/>
          <w:szCs w:val="20"/>
        </w:rPr>
        <w:t>6/10</w:t>
      </w:r>
      <w:r w:rsidR="00D4295A" w:rsidRPr="001654C6">
        <w:rPr>
          <w:rFonts w:ascii="Times New Roman" w:hAnsi="Times New Roman"/>
          <w:sz w:val="20"/>
          <w:szCs w:val="20"/>
        </w:rPr>
        <w:tab/>
      </w:r>
      <w:r w:rsidR="00D4295A" w:rsidRPr="001654C6">
        <w:rPr>
          <w:rFonts w:ascii="Times New Roman" w:hAnsi="Times New Roman"/>
          <w:sz w:val="20"/>
          <w:szCs w:val="20"/>
        </w:rPr>
        <w:tab/>
      </w:r>
      <w:r w:rsidR="00D4295A" w:rsidRPr="001654C6">
        <w:rPr>
          <w:rFonts w:ascii="Times New Roman" w:hAnsi="Times New Roman"/>
          <w:sz w:val="20"/>
          <w:szCs w:val="20"/>
        </w:rPr>
        <w:tab/>
      </w:r>
      <w:r w:rsidR="00D4295A" w:rsidRPr="001654C6">
        <w:rPr>
          <w:rFonts w:ascii="Times New Roman" w:hAnsi="Times New Roman"/>
          <w:sz w:val="20"/>
          <w:szCs w:val="20"/>
        </w:rPr>
        <w:tab/>
      </w:r>
      <w:r w:rsidR="00D4295A" w:rsidRPr="001654C6">
        <w:rPr>
          <w:rFonts w:ascii="Times New Roman" w:hAnsi="Times New Roman"/>
          <w:sz w:val="20"/>
          <w:szCs w:val="20"/>
        </w:rPr>
        <w:tab/>
      </w:r>
      <w:r w:rsidR="00D4295A" w:rsidRPr="001654C6">
        <w:rPr>
          <w:rFonts w:ascii="Times New Roman" w:hAnsi="Times New Roman"/>
          <w:sz w:val="20"/>
          <w:szCs w:val="20"/>
        </w:rPr>
        <w:tab/>
      </w:r>
      <w:r w:rsidRPr="001654C6">
        <w:rPr>
          <w:rFonts w:ascii="Times New Roman" w:hAnsi="Times New Roman"/>
          <w:sz w:val="20"/>
          <w:szCs w:val="20"/>
        </w:rPr>
        <w:t>Todd Webster</w:t>
      </w:r>
      <w:r w:rsidR="00D4295A" w:rsidRPr="001654C6">
        <w:rPr>
          <w:rFonts w:ascii="Times New Roman" w:hAnsi="Times New Roman"/>
          <w:sz w:val="20"/>
          <w:szCs w:val="20"/>
        </w:rPr>
        <w:tab/>
      </w:r>
      <w:r>
        <w:rPr>
          <w:rFonts w:ascii="Times New Roman" w:hAnsi="Times New Roman"/>
          <w:sz w:val="20"/>
          <w:szCs w:val="20"/>
        </w:rPr>
        <w:t>441</w:t>
      </w:r>
    </w:p>
    <w:p w:rsidR="001654C6" w:rsidRP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1654C6">
        <w:rPr>
          <w:rFonts w:ascii="Times New Roman" w:hAnsi="Times New Roman"/>
          <w:sz w:val="20"/>
          <w:szCs w:val="20"/>
        </w:rPr>
        <w:tab/>
      </w:r>
      <w:r w:rsidRPr="001654C6">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r>
      <w:r w:rsidR="00D4295A">
        <w:rPr>
          <w:rFonts w:ascii="Times New Roman" w:hAnsi="Times New Roman"/>
          <w:sz w:val="20"/>
          <w:szCs w:val="20"/>
        </w:rPr>
        <w:tab/>
        <w:t>Lyra Burgess</w:t>
      </w:r>
      <w:r w:rsidR="00D4295A">
        <w:rPr>
          <w:rFonts w:ascii="Times New Roman" w:hAnsi="Times New Roman"/>
          <w:sz w:val="20"/>
          <w:szCs w:val="20"/>
        </w:rPr>
        <w:tab/>
        <w:t>309</w:t>
      </w:r>
    </w:p>
    <w:p w:rsidR="001654C6" w:rsidRPr="001654C6" w:rsidRDefault="001654C6" w:rsidP="001654C6">
      <w:pPr>
        <w:shd w:val="clear" w:color="auto" w:fill="D9D9D9"/>
        <w:tabs>
          <w:tab w:val="left" w:pos="36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sz w:val="20"/>
          <w:szCs w:val="20"/>
        </w:rPr>
      </w:pP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r>
      <w:r w:rsidRPr="001654C6">
        <w:rPr>
          <w:rFonts w:ascii="Times New Roman" w:hAnsi="Times New Roman"/>
          <w:sz w:val="20"/>
          <w:szCs w:val="20"/>
        </w:rPr>
        <w:tab/>
        <w:t>Shelby Dover</w:t>
      </w:r>
      <w:r w:rsidRPr="001654C6">
        <w:rPr>
          <w:rFonts w:ascii="Times New Roman" w:hAnsi="Times New Roman"/>
          <w:sz w:val="20"/>
          <w:szCs w:val="20"/>
        </w:rPr>
        <w:tab/>
        <w:t>216</w:t>
      </w:r>
    </w:p>
    <w:p w:rsidR="001654C6" w:rsidRPr="0085502A" w:rsidRDefault="001654C6" w:rsidP="001654C6">
      <w:pPr>
        <w:tabs>
          <w:tab w:val="left" w:pos="360"/>
          <w:tab w:val="left" w:pos="3960"/>
          <w:tab w:val="left" w:pos="4860"/>
          <w:tab w:val="left" w:pos="6030"/>
          <w:tab w:val="left" w:pos="7110"/>
          <w:tab w:val="left" w:pos="7740"/>
          <w:tab w:val="left" w:pos="8460"/>
          <w:tab w:val="left" w:pos="10800"/>
        </w:tabs>
        <w:spacing w:after="0" w:line="240" w:lineRule="auto"/>
        <w:rPr>
          <w:rFonts w:ascii="Times New Roman" w:hAnsi="Times New Roman"/>
          <w:sz w:val="20"/>
          <w:szCs w:val="20"/>
        </w:rPr>
      </w:pPr>
    </w:p>
    <w:p w:rsidR="001654C6" w:rsidRPr="00017E90" w:rsidRDefault="001654C6" w:rsidP="001654C6">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1654C6" w:rsidRPr="00C1468D" w:rsidRDefault="001654C6" w:rsidP="001654C6">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1654C6" w:rsidRPr="00C1468D" w:rsidRDefault="001654C6" w:rsidP="001654C6">
      <w:pPr>
        <w:tabs>
          <w:tab w:val="left" w:pos="2160"/>
        </w:tabs>
        <w:spacing w:after="0" w:line="240" w:lineRule="auto"/>
        <w:rPr>
          <w:rFonts w:ascii="Times New Roman" w:hAnsi="Times New Roman"/>
          <w:sz w:val="20"/>
          <w:szCs w:val="20"/>
          <w:u w:val="single"/>
        </w:rPr>
      </w:pPr>
    </w:p>
    <w:p w:rsidR="001654C6" w:rsidRPr="00C1468D" w:rsidRDefault="001654C6" w:rsidP="001654C6">
      <w:pPr>
        <w:tabs>
          <w:tab w:val="left" w:pos="2160"/>
        </w:tabs>
        <w:spacing w:after="0" w:line="240" w:lineRule="auto"/>
        <w:rPr>
          <w:rFonts w:ascii="Times New Roman" w:hAnsi="Times New Roman"/>
          <w:sz w:val="20"/>
          <w:szCs w:val="20"/>
          <w:u w:val="single"/>
        </w:rPr>
      </w:pPr>
    </w:p>
    <w:p w:rsidR="001654C6" w:rsidRPr="00C1468D" w:rsidRDefault="001654C6" w:rsidP="001654C6">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1654C6" w:rsidRPr="00C1468D" w:rsidRDefault="001654C6" w:rsidP="001654C6">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1654C6" w:rsidRPr="00C1468D" w:rsidRDefault="001654C6" w:rsidP="001654C6">
      <w:pPr>
        <w:spacing w:after="0" w:line="240" w:lineRule="auto"/>
        <w:rPr>
          <w:rFonts w:ascii="Times New Roman" w:hAnsi="Times New Roman"/>
          <w:i/>
          <w:sz w:val="20"/>
          <w:szCs w:val="20"/>
        </w:rPr>
      </w:pPr>
    </w:p>
    <w:p w:rsidR="001654C6" w:rsidRPr="00C1468D" w:rsidRDefault="001654C6" w:rsidP="001654C6">
      <w:pPr>
        <w:spacing w:after="0" w:line="240" w:lineRule="auto"/>
        <w:rPr>
          <w:rFonts w:ascii="Times New Roman" w:hAnsi="Times New Roman"/>
          <w:i/>
          <w:sz w:val="20"/>
          <w:szCs w:val="20"/>
        </w:rPr>
      </w:pPr>
    </w:p>
    <w:p w:rsidR="001654C6" w:rsidRDefault="001654C6" w:rsidP="001654C6">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1654C6" w:rsidRDefault="001654C6" w:rsidP="001654C6">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1654C6" w:rsidRPr="00C1468D" w:rsidRDefault="001654C6" w:rsidP="001654C6">
      <w:pPr>
        <w:tabs>
          <w:tab w:val="left" w:pos="5760"/>
          <w:tab w:val="left" w:pos="6480"/>
        </w:tabs>
        <w:spacing w:after="0" w:line="240" w:lineRule="auto"/>
        <w:rPr>
          <w:rFonts w:ascii="Times New Roman" w:hAnsi="Times New Roman"/>
        </w:rPr>
      </w:pPr>
    </w:p>
    <w:p w:rsidR="001654C6" w:rsidRPr="0085502A" w:rsidRDefault="001654C6" w:rsidP="001654C6">
      <w:pPr>
        <w:spacing w:after="0" w:line="240" w:lineRule="auto"/>
        <w:rPr>
          <w:rFonts w:ascii="Times New Roman" w:hAnsi="Times New Roman"/>
          <w:b/>
          <w:i/>
          <w:sz w:val="20"/>
          <w:szCs w:val="20"/>
        </w:rPr>
      </w:pPr>
    </w:p>
    <w:p w:rsidR="001654C6" w:rsidRDefault="001654C6" w:rsidP="001654C6">
      <w:pPr>
        <w:spacing w:after="0" w:line="240" w:lineRule="auto"/>
        <w:rPr>
          <w:rFonts w:ascii="Times New Roman" w:hAnsi="Times New Roman"/>
          <w:b/>
          <w:i/>
        </w:rPr>
      </w:pPr>
    </w:p>
    <w:p w:rsidR="001654C6" w:rsidRPr="00C1468D" w:rsidRDefault="001654C6" w:rsidP="001654C6">
      <w:pPr>
        <w:spacing w:after="0" w:line="240" w:lineRule="auto"/>
        <w:rPr>
          <w:rFonts w:ascii="Times New Roman" w:hAnsi="Times New Roman"/>
        </w:rPr>
      </w:pPr>
      <w:r>
        <w:rPr>
          <w:rFonts w:ascii="Times New Roman" w:hAnsi="Times New Roman"/>
          <w:b/>
          <w:i/>
          <w:sz w:val="32"/>
          <w:szCs w:val="32"/>
        </w:rPr>
        <w:br w:type="page"/>
      </w:r>
    </w:p>
    <w:p w:rsidR="001654C6" w:rsidRPr="00C1468D" w:rsidRDefault="001654C6" w:rsidP="001654C6">
      <w:pPr>
        <w:spacing w:after="0" w:line="240" w:lineRule="auto"/>
        <w:rPr>
          <w:rFonts w:ascii="Times New Roman" w:hAnsi="Times New Roman"/>
        </w:rPr>
      </w:pPr>
    </w:p>
    <w:p w:rsidR="001654C6" w:rsidRPr="00BF6757" w:rsidRDefault="001654C6" w:rsidP="001654C6">
      <w:pPr>
        <w:pBdr>
          <w:top w:val="single" w:sz="24" w:space="0" w:color="auto"/>
        </w:pBdr>
        <w:tabs>
          <w:tab w:val="left" w:pos="360"/>
        </w:tabs>
        <w:spacing w:after="0" w:line="240" w:lineRule="auto"/>
        <w:jc w:val="both"/>
        <w:rPr>
          <w:rFonts w:ascii="Times New Roman" w:hAnsi="Times New Roman"/>
          <w:b/>
          <w:bCs/>
          <w:i/>
          <w:iCs/>
          <w:sz w:val="28"/>
          <w:szCs w:val="28"/>
        </w:rPr>
      </w:pPr>
    </w:p>
    <w:p w:rsidR="001654C6" w:rsidRPr="00BF6757" w:rsidRDefault="001654C6" w:rsidP="001654C6">
      <w:pPr>
        <w:spacing w:after="240" w:line="240" w:lineRule="auto"/>
        <w:rPr>
          <w:rFonts w:ascii="Times New Roman" w:hAnsi="Times New Roman"/>
          <w:b/>
          <w:i/>
          <w:sz w:val="28"/>
          <w:szCs w:val="28"/>
        </w:rPr>
      </w:pPr>
      <w:r w:rsidRPr="00BF6757">
        <w:rPr>
          <w:rFonts w:ascii="Times New Roman" w:hAnsi="Times New Roman"/>
          <w:b/>
          <w:i/>
          <w:sz w:val="28"/>
          <w:szCs w:val="28"/>
        </w:rPr>
        <w:t xml:space="preserve">GASB Current Technical Agenda: Overview </w:t>
      </w:r>
      <w:r w:rsidRPr="00BF6757">
        <w:rPr>
          <w:rFonts w:ascii="Times New Roman" w:hAnsi="Times New Roman"/>
        </w:rPr>
        <w:t xml:space="preserve">(As of </w:t>
      </w:r>
      <w:r w:rsidR="0025763F">
        <w:rPr>
          <w:rFonts w:ascii="Times New Roman" w:hAnsi="Times New Roman"/>
        </w:rPr>
        <w:t>4</w:t>
      </w:r>
      <w:r w:rsidRPr="00BF6757">
        <w:rPr>
          <w:rFonts w:ascii="Times New Roman" w:hAnsi="Times New Roman"/>
        </w:rPr>
        <w:t>/</w:t>
      </w:r>
      <w:r w:rsidR="0025763F">
        <w:rPr>
          <w:rFonts w:ascii="Times New Roman" w:hAnsi="Times New Roman"/>
        </w:rPr>
        <w:t>30</w:t>
      </w:r>
      <w:r w:rsidRPr="00BF6757">
        <w:rPr>
          <w:rFonts w:ascii="Times New Roman" w:hAnsi="Times New Roman"/>
        </w:rPr>
        <w:t>/1</w:t>
      </w:r>
      <w:r w:rsidR="0025763F">
        <w:rPr>
          <w:rFonts w:ascii="Times New Roman" w:hAnsi="Times New Roman"/>
        </w:rPr>
        <w:t>1</w:t>
      </w:r>
      <w:r w:rsidRPr="00BF6757">
        <w:rPr>
          <w:rFonts w:ascii="Times New Roman" w:hAnsi="Times New Roman"/>
        </w:rPr>
        <w:t>)</w:t>
      </w:r>
    </w:p>
    <w:p w:rsidR="001654C6" w:rsidRPr="00C1468D" w:rsidRDefault="001654C6" w:rsidP="001654C6">
      <w:pPr>
        <w:pBdr>
          <w:top w:val="single" w:sz="4" w:space="1" w:color="auto"/>
        </w:pBdr>
        <w:tabs>
          <w:tab w:val="left" w:pos="360"/>
        </w:tabs>
        <w:spacing w:after="0" w:line="240" w:lineRule="auto"/>
        <w:jc w:val="both"/>
        <w:rPr>
          <w:rFonts w:ascii="Times New Roman" w:hAnsi="Times New Roman"/>
          <w:b/>
          <w:bCs/>
        </w:rPr>
      </w:pPr>
    </w:p>
    <w:p w:rsidR="001654C6" w:rsidRPr="00C1468D" w:rsidRDefault="001654C6" w:rsidP="001654C6">
      <w:pPr>
        <w:tabs>
          <w:tab w:val="left" w:pos="3240"/>
          <w:tab w:val="left" w:pos="558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Issued</w:t>
      </w:r>
      <w:r w:rsidRPr="00C1468D">
        <w:rPr>
          <w:rFonts w:ascii="Times New Roman" w:hAnsi="Times New Roman"/>
          <w:b/>
          <w:bCs/>
        </w:rPr>
        <w:tab/>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1654C6" w:rsidRPr="00C1468D" w:rsidRDefault="001654C6" w:rsidP="001654C6">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sidR="00524002">
        <w:rPr>
          <w:rFonts w:ascii="Times New Roman" w:hAnsi="Times New Roman"/>
          <w:b/>
          <w:bCs/>
        </w:rPr>
        <w:t xml:space="preserve">       </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t>ITC/PV</w:t>
      </w:r>
      <w:r w:rsidRPr="00C1468D">
        <w:rPr>
          <w:rFonts w:ascii="Times New Roman" w:hAnsi="Times New Roman"/>
          <w:b/>
          <w:bCs/>
        </w:rPr>
        <w:tab/>
      </w:r>
      <w:r>
        <w:rPr>
          <w:rFonts w:ascii="Times New Roman" w:hAnsi="Times New Roman"/>
          <w:b/>
          <w:bCs/>
        </w:rPr>
        <w:t xml:space="preserve">  </w:t>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1654C6" w:rsidRPr="00C1468D" w:rsidRDefault="001654C6" w:rsidP="001654C6">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1654C6" w:rsidRPr="006A77CB" w:rsidRDefault="001654C6" w:rsidP="001654C6">
      <w:pPr>
        <w:spacing w:after="0" w:line="240" w:lineRule="auto"/>
        <w:rPr>
          <w:rFonts w:ascii="Times New Roman" w:hAnsi="Times New Roman"/>
          <w:b/>
        </w:rPr>
      </w:pPr>
      <w:r w:rsidRPr="006A77CB">
        <w:rPr>
          <w:rFonts w:ascii="Times New Roman" w:hAnsi="Times New Roman"/>
          <w:b/>
        </w:rPr>
        <w:t>Practice Issues:</w:t>
      </w:r>
    </w:p>
    <w:p w:rsidR="001654C6" w:rsidRPr="0099164D" w:rsidRDefault="001654C6" w:rsidP="001654C6">
      <w:pPr>
        <w:spacing w:after="0" w:line="240" w:lineRule="auto"/>
        <w:rPr>
          <w:rFonts w:ascii="Times New Roman" w:hAnsi="Times New Roman"/>
          <w:i/>
          <w:sz w:val="20"/>
          <w:szCs w:val="20"/>
        </w:rPr>
      </w:pP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 xml:space="preserve">Comprehensive Implementation </w:t>
      </w:r>
      <w:r>
        <w:rPr>
          <w:rFonts w:ascii="Times New Roman" w:hAnsi="Times New Roman"/>
          <w:sz w:val="20"/>
          <w:szCs w:val="20"/>
        </w:rPr>
        <w:t>Guide—</w:t>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Pr>
          <w:rFonts w:ascii="Times New Roman" w:hAnsi="Times New Roman"/>
          <w:sz w:val="20"/>
          <w:szCs w:val="20"/>
        </w:rPr>
        <w:t>Jeff Bridgens</w:t>
      </w:r>
      <w:r>
        <w:rPr>
          <w:rFonts w:ascii="Times New Roman" w:hAnsi="Times New Roman"/>
          <w:sz w:val="20"/>
          <w:szCs w:val="20"/>
        </w:rPr>
        <w:tab/>
        <w:t>210</w:t>
      </w:r>
    </w:p>
    <w:p w:rsidR="00524002" w:rsidRDefault="00524002"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Annual Update</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r>
      <w:r>
        <w:rPr>
          <w:rFonts w:ascii="Times New Roman" w:hAnsi="Times New Roman"/>
          <w:sz w:val="20"/>
          <w:szCs w:val="20"/>
        </w:rPr>
        <w:t>3</w:t>
      </w:r>
      <w:r w:rsidRPr="000A29D3">
        <w:rPr>
          <w:rFonts w:ascii="Times New Roman" w:hAnsi="Times New Roman"/>
          <w:sz w:val="20"/>
          <w:szCs w:val="20"/>
        </w:rPr>
        <w:t>Q1</w:t>
      </w:r>
      <w:r>
        <w:rPr>
          <w:rFonts w:ascii="Times New Roman" w:hAnsi="Times New Roman"/>
          <w:sz w:val="20"/>
          <w:szCs w:val="20"/>
        </w:rPr>
        <w:t>1</w:t>
      </w:r>
      <w:r>
        <w:rPr>
          <w:rFonts w:ascii="Times New Roman" w:hAnsi="Times New Roman"/>
          <w:sz w:val="20"/>
          <w:szCs w:val="20"/>
        </w:rPr>
        <w:tab/>
      </w:r>
      <w:r w:rsidRPr="000A29D3">
        <w:rPr>
          <w:rFonts w:ascii="Times New Roman" w:hAnsi="Times New Roman"/>
          <w:sz w:val="20"/>
          <w:szCs w:val="20"/>
        </w:rPr>
        <w:t>Michelle Czerkawski</w:t>
      </w:r>
      <w:r w:rsidRPr="000A29D3">
        <w:rPr>
          <w:rFonts w:ascii="Times New Roman" w:hAnsi="Times New Roman"/>
          <w:sz w:val="20"/>
          <w:szCs w:val="20"/>
        </w:rPr>
        <w:tab/>
        <w:t>293</w:t>
      </w: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 xml:space="preserve">  </w:t>
      </w:r>
      <w:r>
        <w:rPr>
          <w:rFonts w:ascii="Times New Roman" w:hAnsi="Times New Roman"/>
          <w:sz w:val="20"/>
          <w:szCs w:val="20"/>
        </w:rPr>
        <w:t>Mid-Year Supplement</w:t>
      </w:r>
      <w:r>
        <w:rPr>
          <w:rFonts w:ascii="Times New Roman" w:hAnsi="Times New Roman"/>
          <w:sz w:val="20"/>
          <w:szCs w:val="20"/>
        </w:rPr>
        <w:tab/>
      </w:r>
      <w:r w:rsidRPr="000A29D3">
        <w:rPr>
          <w:rFonts w:ascii="Times New Roman" w:hAnsi="Times New Roman"/>
          <w:sz w:val="20"/>
          <w:szCs w:val="20"/>
        </w:rPr>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r>
      <w:r w:rsidR="00524002">
        <w:rPr>
          <w:rFonts w:ascii="Times New Roman" w:hAnsi="Times New Roman"/>
          <w:sz w:val="20"/>
          <w:szCs w:val="20"/>
        </w:rPr>
        <w:t>1</w:t>
      </w:r>
      <w:r w:rsidRPr="000A29D3">
        <w:rPr>
          <w:rFonts w:ascii="Times New Roman" w:hAnsi="Times New Roman"/>
          <w:sz w:val="20"/>
          <w:szCs w:val="20"/>
        </w:rPr>
        <w:t>Q1</w:t>
      </w:r>
      <w:r w:rsidR="00524002">
        <w:rPr>
          <w:rFonts w:ascii="Times New Roman" w:hAnsi="Times New Roman"/>
          <w:sz w:val="20"/>
          <w:szCs w:val="20"/>
        </w:rPr>
        <w:t>2</w:t>
      </w:r>
      <w:r>
        <w:rPr>
          <w:rFonts w:ascii="Times New Roman" w:hAnsi="Times New Roman"/>
          <w:sz w:val="20"/>
          <w:szCs w:val="20"/>
        </w:rPr>
        <w:tab/>
      </w:r>
      <w:r w:rsidRPr="000A29D3">
        <w:rPr>
          <w:rFonts w:ascii="Times New Roman" w:hAnsi="Times New Roman"/>
          <w:sz w:val="20"/>
          <w:szCs w:val="20"/>
        </w:rPr>
        <w:t>Ken Schermann</w:t>
      </w:r>
      <w:r w:rsidRPr="000A29D3">
        <w:rPr>
          <w:rFonts w:ascii="Times New Roman" w:hAnsi="Times New Roman"/>
          <w:sz w:val="20"/>
          <w:szCs w:val="20"/>
        </w:rPr>
        <w:tab/>
        <w:t>206</w:t>
      </w: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Randy Finden</w:t>
      </w:r>
      <w:r w:rsidRPr="000A29D3">
        <w:rPr>
          <w:rFonts w:ascii="Times New Roman" w:hAnsi="Times New Roman"/>
          <w:sz w:val="20"/>
          <w:szCs w:val="20"/>
        </w:rPr>
        <w:tab/>
        <w:t>240</w:t>
      </w: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Wesley Galloway</w:t>
      </w:r>
      <w:r w:rsidRPr="000A29D3">
        <w:rPr>
          <w:rFonts w:ascii="Times New Roman" w:hAnsi="Times New Roman"/>
          <w:sz w:val="20"/>
          <w:szCs w:val="20"/>
        </w:rPr>
        <w:tab/>
        <w:t>272</w:t>
      </w: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Dean Mead</w:t>
      </w:r>
      <w:r w:rsidRPr="000A29D3">
        <w:rPr>
          <w:rFonts w:ascii="Times New Roman" w:hAnsi="Times New Roman"/>
          <w:sz w:val="20"/>
          <w:szCs w:val="20"/>
        </w:rPr>
        <w:tab/>
        <w:t>294</w:t>
      </w:r>
    </w:p>
    <w:p w:rsidR="001654C6"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Roberta Reese</w:t>
      </w:r>
      <w:r w:rsidRPr="000A29D3">
        <w:rPr>
          <w:rFonts w:ascii="Times New Roman" w:hAnsi="Times New Roman"/>
          <w:sz w:val="20"/>
          <w:szCs w:val="20"/>
        </w:rPr>
        <w:tab/>
        <w:t>324</w:t>
      </w:r>
    </w:p>
    <w:p w:rsidR="001654C6"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Scott Reeser</w:t>
      </w:r>
      <w:r>
        <w:rPr>
          <w:rFonts w:ascii="Times New Roman" w:hAnsi="Times New Roman"/>
          <w:sz w:val="20"/>
          <w:szCs w:val="20"/>
        </w:rPr>
        <w:tab/>
        <w:t>448</w:t>
      </w:r>
    </w:p>
    <w:p w:rsidR="001654C6"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Todd Webster</w:t>
      </w:r>
      <w:r>
        <w:rPr>
          <w:rFonts w:ascii="Times New Roman" w:hAnsi="Times New Roman"/>
          <w:sz w:val="20"/>
          <w:szCs w:val="20"/>
        </w:rPr>
        <w:tab/>
        <w:t>441</w:t>
      </w:r>
    </w:p>
    <w:p w:rsidR="001654C6" w:rsidRPr="000A29D3"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Shelby Dover</w:t>
      </w:r>
      <w:r>
        <w:rPr>
          <w:rFonts w:ascii="Times New Roman" w:hAnsi="Times New Roman"/>
          <w:sz w:val="20"/>
          <w:szCs w:val="20"/>
        </w:rPr>
        <w:tab/>
        <w:t>216</w:t>
      </w:r>
    </w:p>
    <w:p w:rsidR="001654C6" w:rsidRDefault="001654C6" w:rsidP="001654C6">
      <w:pPr>
        <w:tabs>
          <w:tab w:val="left" w:pos="360"/>
          <w:tab w:val="left" w:pos="3780"/>
          <w:tab w:val="left" w:pos="4950"/>
          <w:tab w:val="left" w:pos="6120"/>
          <w:tab w:val="left" w:pos="7110"/>
          <w:tab w:val="left" w:pos="7830"/>
          <w:tab w:val="left" w:pos="8460"/>
          <w:tab w:val="left" w:pos="10800"/>
        </w:tabs>
        <w:spacing w:before="120" w:after="0" w:line="240" w:lineRule="auto"/>
        <w:rPr>
          <w:rFonts w:ascii="Times New Roman" w:hAnsi="Times New Roman"/>
          <w:sz w:val="20"/>
        </w:rPr>
      </w:pPr>
      <w:r>
        <w:rPr>
          <w:rFonts w:ascii="Times New Roman" w:hAnsi="Times New Roman"/>
          <w:sz w:val="20"/>
        </w:rPr>
        <w:t>Deferred Inflows of Resources and</w:t>
      </w:r>
      <w:r>
        <w:rPr>
          <w:rFonts w:ascii="Times New Roman" w:hAnsi="Times New Roman"/>
          <w:sz w:val="20"/>
        </w:rPr>
        <w:tab/>
        <w:t>—</w:t>
      </w:r>
      <w:r>
        <w:rPr>
          <w:rFonts w:ascii="Times New Roman" w:hAnsi="Times New Roman"/>
          <w:sz w:val="20"/>
        </w:rPr>
        <w:tab/>
        <w:t>—</w:t>
      </w:r>
      <w:r>
        <w:rPr>
          <w:rFonts w:ascii="Times New Roman" w:hAnsi="Times New Roman"/>
          <w:sz w:val="20"/>
        </w:rPr>
        <w:tab/>
        <w:t>—</w:t>
      </w:r>
      <w:r>
        <w:rPr>
          <w:rFonts w:ascii="Times New Roman" w:hAnsi="Times New Roman"/>
          <w:sz w:val="20"/>
        </w:rPr>
        <w:tab/>
        <w:t>3Q11</w:t>
      </w:r>
      <w:r>
        <w:rPr>
          <w:rFonts w:ascii="Times New Roman" w:hAnsi="Times New Roman"/>
          <w:sz w:val="20"/>
        </w:rPr>
        <w:tab/>
        <w:t>1Q12</w:t>
      </w:r>
      <w:r>
        <w:rPr>
          <w:rFonts w:ascii="Times New Roman" w:hAnsi="Times New Roman"/>
          <w:sz w:val="20"/>
        </w:rPr>
        <w:tab/>
        <w:t>Todd Webster</w:t>
      </w:r>
      <w:r>
        <w:rPr>
          <w:rFonts w:ascii="Times New Roman" w:hAnsi="Times New Roman"/>
          <w:sz w:val="20"/>
        </w:rPr>
        <w:tab/>
        <w:t>441</w:t>
      </w:r>
    </w:p>
    <w:p w:rsidR="001654C6" w:rsidRDefault="001654C6" w:rsidP="001654C6">
      <w:pPr>
        <w:tabs>
          <w:tab w:val="left" w:pos="360"/>
          <w:tab w:val="left" w:pos="3780"/>
          <w:tab w:val="left" w:pos="4950"/>
          <w:tab w:val="left" w:pos="6120"/>
          <w:tab w:val="left" w:pos="7110"/>
          <w:tab w:val="left" w:pos="7830"/>
          <w:tab w:val="left" w:pos="8460"/>
          <w:tab w:val="left" w:pos="10800"/>
        </w:tabs>
        <w:spacing w:after="0" w:line="240" w:lineRule="auto"/>
        <w:rPr>
          <w:rFonts w:ascii="Times New Roman" w:hAnsi="Times New Roman"/>
          <w:sz w:val="20"/>
        </w:rPr>
      </w:pPr>
      <w:r>
        <w:rPr>
          <w:rFonts w:ascii="Times New Roman" w:hAnsi="Times New Roman"/>
          <w:sz w:val="20"/>
        </w:rPr>
        <w:t xml:space="preserve">  Deferred Outflows of Resources</w:t>
      </w:r>
      <w:r w:rsidR="0086512A">
        <w:rPr>
          <w:rFonts w:ascii="Times New Roman" w:hAnsi="Times New Roman" w:cs="Times New Roman"/>
          <w:sz w:val="20"/>
        </w:rPr>
        <w:t>—</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Scott Reeser</w:t>
      </w:r>
      <w:r>
        <w:rPr>
          <w:rFonts w:ascii="Times New Roman" w:hAnsi="Times New Roman"/>
          <w:sz w:val="20"/>
        </w:rPr>
        <w:tab/>
        <w:t>448</w:t>
      </w:r>
    </w:p>
    <w:p w:rsidR="001654C6" w:rsidRDefault="001654C6" w:rsidP="001654C6">
      <w:pPr>
        <w:tabs>
          <w:tab w:val="left" w:pos="360"/>
          <w:tab w:val="left" w:pos="3780"/>
          <w:tab w:val="left" w:pos="4950"/>
          <w:tab w:val="left" w:pos="6120"/>
          <w:tab w:val="left" w:pos="7110"/>
          <w:tab w:val="left" w:pos="7830"/>
          <w:tab w:val="left" w:pos="8460"/>
          <w:tab w:val="left" w:pos="10800"/>
        </w:tabs>
        <w:spacing w:after="0" w:line="240" w:lineRule="auto"/>
        <w:rPr>
          <w:rFonts w:ascii="Times New Roman" w:hAnsi="Times New Roman"/>
          <w:sz w:val="20"/>
        </w:rPr>
      </w:pPr>
      <w:r>
        <w:rPr>
          <w:rFonts w:ascii="Times New Roman" w:hAnsi="Times New Roman"/>
          <w:sz w:val="20"/>
        </w:rPr>
        <w:t xml:space="preserve">  Omnibus</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Matthew Pelton</w:t>
      </w:r>
      <w:r>
        <w:rPr>
          <w:rFonts w:ascii="Times New Roman" w:hAnsi="Times New Roman"/>
          <w:sz w:val="20"/>
        </w:rPr>
        <w:tab/>
        <w:t>228</w:t>
      </w:r>
    </w:p>
    <w:p w:rsidR="001654C6" w:rsidRDefault="001654C6" w:rsidP="001654C6">
      <w:pPr>
        <w:tabs>
          <w:tab w:val="left" w:pos="360"/>
          <w:tab w:val="left" w:pos="3780"/>
          <w:tab w:val="left" w:pos="4950"/>
          <w:tab w:val="left" w:pos="6120"/>
          <w:tab w:val="left" w:pos="7110"/>
          <w:tab w:val="left" w:pos="7830"/>
          <w:tab w:val="left" w:pos="8460"/>
          <w:tab w:val="left" w:pos="10800"/>
        </w:tabs>
        <w:spacing w:after="0" w:line="240" w:lineRule="auto"/>
        <w:rPr>
          <w:rFonts w:ascii="Times New Roman" w:hAnsi="Times New Roman"/>
          <w:sz w:val="20"/>
        </w:rPr>
      </w:pPr>
    </w:p>
    <w:p w:rsidR="001654C6" w:rsidRPr="00AF4D2E" w:rsidRDefault="001654C6" w:rsidP="0086512A">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Derivatives: Application of Termination</w:t>
      </w:r>
      <w:r w:rsidRPr="00AF4D2E">
        <w:rPr>
          <w:rFonts w:ascii="Times New Roman" w:hAnsi="Times New Roman"/>
          <w:sz w:val="20"/>
          <w:szCs w:val="20"/>
        </w:rPr>
        <w:tab/>
        <w:t>—</w:t>
      </w:r>
      <w:r w:rsidRPr="00AF4D2E">
        <w:rPr>
          <w:rFonts w:ascii="Times New Roman" w:hAnsi="Times New Roman"/>
          <w:sz w:val="20"/>
          <w:szCs w:val="20"/>
        </w:rPr>
        <w:tab/>
      </w:r>
      <w:r w:rsidR="0025763F">
        <w:rPr>
          <w:rFonts w:ascii="Times New Roman" w:hAnsi="Times New Roman"/>
          <w:sz w:val="20"/>
          <w:szCs w:val="20"/>
        </w:rPr>
        <w:t>1Q11</w:t>
      </w:r>
      <w:r w:rsidRPr="00AF4D2E">
        <w:rPr>
          <w:rFonts w:ascii="Times New Roman" w:hAnsi="Times New Roman"/>
          <w:sz w:val="20"/>
          <w:szCs w:val="20"/>
        </w:rPr>
        <w:tab/>
        <w:t>—</w:t>
      </w:r>
      <w:r w:rsidRPr="00AF4D2E">
        <w:rPr>
          <w:rFonts w:ascii="Times New Roman" w:hAnsi="Times New Roman"/>
          <w:sz w:val="20"/>
          <w:szCs w:val="20"/>
        </w:rPr>
        <w:tab/>
      </w:r>
      <w:r w:rsidR="0086512A">
        <w:rPr>
          <w:rFonts w:ascii="Times New Roman" w:hAnsi="Times New Roman" w:cs="Times New Roman"/>
          <w:sz w:val="20"/>
          <w:szCs w:val="20"/>
        </w:rPr>
        <w:t>—</w:t>
      </w:r>
      <w:r w:rsidRPr="00AF4D2E">
        <w:rPr>
          <w:rFonts w:ascii="Times New Roman" w:hAnsi="Times New Roman"/>
          <w:sz w:val="20"/>
          <w:szCs w:val="20"/>
        </w:rPr>
        <w:tab/>
      </w:r>
      <w:r>
        <w:rPr>
          <w:rFonts w:ascii="Times New Roman" w:hAnsi="Times New Roman"/>
          <w:sz w:val="20"/>
          <w:szCs w:val="20"/>
        </w:rPr>
        <w:t>2</w:t>
      </w:r>
      <w:r w:rsidRPr="00AF4D2E">
        <w:rPr>
          <w:rFonts w:ascii="Times New Roman" w:hAnsi="Times New Roman"/>
          <w:sz w:val="20"/>
          <w:szCs w:val="20"/>
        </w:rPr>
        <w:t>Q</w:t>
      </w:r>
      <w:r>
        <w:rPr>
          <w:rFonts w:ascii="Times New Roman" w:hAnsi="Times New Roman"/>
          <w:sz w:val="20"/>
          <w:szCs w:val="20"/>
        </w:rPr>
        <w:t>11</w:t>
      </w:r>
      <w:r w:rsidRPr="00AF4D2E">
        <w:rPr>
          <w:rFonts w:ascii="Times New Roman" w:hAnsi="Times New Roman"/>
          <w:sz w:val="20"/>
          <w:szCs w:val="20"/>
        </w:rPr>
        <w:tab/>
        <w:t>Randy Finden</w:t>
      </w:r>
      <w:r w:rsidRPr="00AF4D2E">
        <w:rPr>
          <w:rFonts w:ascii="Times New Roman" w:hAnsi="Times New Roman"/>
          <w:sz w:val="20"/>
          <w:szCs w:val="20"/>
        </w:rPr>
        <w:tab/>
        <w:t>240</w:t>
      </w:r>
    </w:p>
    <w:p w:rsidR="001654C6" w:rsidRDefault="001654C6" w:rsidP="0086512A">
      <w:pPr>
        <w:shd w:val="clear" w:color="auto" w:fill="D9D9D9"/>
        <w:tabs>
          <w:tab w:val="left" w:pos="360"/>
          <w:tab w:val="left" w:pos="3780"/>
          <w:tab w:val="left" w:pos="4950"/>
          <w:tab w:val="left" w:pos="612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Provisions </w:t>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Pr>
          <w:rFonts w:ascii="Times New Roman" w:hAnsi="Times New Roman"/>
          <w:sz w:val="20"/>
          <w:szCs w:val="20"/>
        </w:rPr>
        <w:t>Scott Reeser</w:t>
      </w:r>
      <w:r>
        <w:rPr>
          <w:rFonts w:ascii="Times New Roman" w:hAnsi="Times New Roman"/>
          <w:sz w:val="20"/>
          <w:szCs w:val="20"/>
        </w:rPr>
        <w:tab/>
        <w:t>448</w:t>
      </w:r>
    </w:p>
    <w:p w:rsidR="001654C6" w:rsidRPr="00AF4D2E" w:rsidRDefault="001654C6" w:rsidP="001654C6">
      <w:pPr>
        <w:shd w:val="clear" w:color="auto" w:fill="D9D9D9"/>
        <w:tabs>
          <w:tab w:val="left" w:pos="360"/>
          <w:tab w:val="left" w:pos="3780"/>
          <w:tab w:val="left" w:pos="4950"/>
          <w:tab w:val="left" w:pos="612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Kathryn Price</w:t>
      </w:r>
      <w:r>
        <w:rPr>
          <w:rFonts w:ascii="Times New Roman" w:hAnsi="Times New Roman"/>
          <w:sz w:val="20"/>
          <w:szCs w:val="20"/>
        </w:rPr>
        <w:tab/>
        <w:t>303</w:t>
      </w:r>
    </w:p>
    <w:p w:rsidR="001654C6" w:rsidRPr="00017E90" w:rsidRDefault="001654C6" w:rsidP="0086512A">
      <w:pPr>
        <w:tabs>
          <w:tab w:val="left" w:pos="360"/>
          <w:tab w:val="left" w:pos="3780"/>
          <w:tab w:val="left" w:pos="4950"/>
          <w:tab w:val="left" w:pos="6120"/>
          <w:tab w:val="left" w:pos="7200"/>
          <w:tab w:val="left" w:pos="7830"/>
          <w:tab w:val="left" w:pos="8460"/>
          <w:tab w:val="left" w:pos="10800"/>
        </w:tabs>
        <w:spacing w:before="120" w:after="0" w:line="240" w:lineRule="auto"/>
        <w:rPr>
          <w:rFonts w:ascii="Times New Roman" w:hAnsi="Times New Roman"/>
          <w:sz w:val="20"/>
        </w:rPr>
      </w:pPr>
      <w:r>
        <w:rPr>
          <w:rFonts w:ascii="Times New Roman" w:hAnsi="Times New Roman"/>
          <w:sz w:val="20"/>
        </w:rPr>
        <w:t>Statement of Net Position</w:t>
      </w:r>
      <w:r w:rsidRPr="00017E90">
        <w:rPr>
          <w:rFonts w:ascii="Times New Roman" w:hAnsi="Times New Roman"/>
          <w:sz w:val="20"/>
        </w:rPr>
        <w:t xml:space="preserve"> </w:t>
      </w:r>
      <w:r w:rsidRPr="00017E90">
        <w:rPr>
          <w:rFonts w:ascii="Times New Roman" w:hAnsi="Times New Roman"/>
          <w:sz w:val="20"/>
        </w:rPr>
        <w:tab/>
        <w:t>—</w:t>
      </w:r>
      <w:r w:rsidRPr="00017E90">
        <w:rPr>
          <w:rFonts w:ascii="Times New Roman" w:hAnsi="Times New Roman"/>
          <w:sz w:val="20"/>
        </w:rPr>
        <w:tab/>
      </w:r>
      <w:r>
        <w:rPr>
          <w:rFonts w:ascii="Times New Roman" w:hAnsi="Times New Roman"/>
          <w:sz w:val="20"/>
        </w:rPr>
        <w:t>4Q10</w:t>
      </w:r>
      <w:r w:rsidRPr="00017E90">
        <w:rPr>
          <w:rFonts w:ascii="Times New Roman" w:hAnsi="Times New Roman"/>
          <w:sz w:val="20"/>
        </w:rPr>
        <w:tab/>
        <w:t>—</w:t>
      </w:r>
      <w:r w:rsidRPr="00017E90">
        <w:rPr>
          <w:rFonts w:ascii="Times New Roman" w:hAnsi="Times New Roman"/>
          <w:sz w:val="20"/>
        </w:rPr>
        <w:tab/>
      </w:r>
      <w:r>
        <w:rPr>
          <w:rFonts w:ascii="Times New Roman" w:hAnsi="Times New Roman"/>
          <w:sz w:val="20"/>
        </w:rPr>
        <w:t>—</w:t>
      </w:r>
      <w:r w:rsidRPr="00017E90">
        <w:rPr>
          <w:rFonts w:ascii="Times New Roman" w:hAnsi="Times New Roman"/>
          <w:sz w:val="20"/>
        </w:rPr>
        <w:tab/>
      </w:r>
      <w:r>
        <w:rPr>
          <w:rFonts w:ascii="Times New Roman" w:hAnsi="Times New Roman"/>
          <w:sz w:val="20"/>
        </w:rPr>
        <w:t>2</w:t>
      </w:r>
      <w:r w:rsidRPr="00017E90">
        <w:rPr>
          <w:rFonts w:ascii="Times New Roman" w:hAnsi="Times New Roman"/>
          <w:sz w:val="20"/>
        </w:rPr>
        <w:t>Q1</w:t>
      </w:r>
      <w:r>
        <w:rPr>
          <w:rFonts w:ascii="Times New Roman" w:hAnsi="Times New Roman"/>
          <w:sz w:val="20"/>
        </w:rPr>
        <w:t>1</w:t>
      </w:r>
      <w:r w:rsidRPr="00017E90">
        <w:rPr>
          <w:rFonts w:ascii="Times New Roman" w:hAnsi="Times New Roman"/>
          <w:sz w:val="20"/>
        </w:rPr>
        <w:tab/>
        <w:t>Ken Schermann</w:t>
      </w:r>
      <w:r w:rsidRPr="00017E90">
        <w:rPr>
          <w:rFonts w:ascii="Times New Roman" w:hAnsi="Times New Roman"/>
          <w:sz w:val="20"/>
        </w:rPr>
        <w:tab/>
        <w:t>206</w:t>
      </w:r>
    </w:p>
    <w:p w:rsidR="001654C6" w:rsidRPr="00017E90" w:rsidRDefault="001654C6" w:rsidP="001654C6">
      <w:pPr>
        <w:tabs>
          <w:tab w:val="left" w:pos="360"/>
          <w:tab w:val="left" w:pos="3780"/>
          <w:tab w:val="left" w:pos="5040"/>
          <w:tab w:val="left" w:pos="6120"/>
          <w:tab w:val="left" w:pos="7110"/>
          <w:tab w:val="left" w:pos="7830"/>
          <w:tab w:val="left" w:pos="8460"/>
          <w:tab w:val="left" w:pos="10800"/>
        </w:tabs>
        <w:spacing w:after="0" w:line="240" w:lineRule="auto"/>
        <w:rPr>
          <w:rFonts w:ascii="Times New Roman" w:hAnsi="Times New Roman"/>
          <w:sz w:val="20"/>
        </w:rPr>
      </w:pP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Pr>
          <w:rFonts w:ascii="Times New Roman" w:hAnsi="Times New Roman"/>
          <w:sz w:val="20"/>
        </w:rPr>
        <w:tab/>
      </w:r>
      <w:r w:rsidRPr="003F4B96">
        <w:rPr>
          <w:rFonts w:ascii="Times New Roman" w:hAnsi="Times New Roman"/>
          <w:sz w:val="20"/>
        </w:rPr>
        <w:t>Shelby Dover</w:t>
      </w:r>
      <w:r w:rsidRPr="003F4B96">
        <w:rPr>
          <w:rFonts w:ascii="Times New Roman" w:hAnsi="Times New Roman"/>
          <w:sz w:val="20"/>
        </w:rPr>
        <w:tab/>
        <w:t>216</w:t>
      </w:r>
    </w:p>
    <w:p w:rsidR="001654C6" w:rsidRPr="00017E90" w:rsidRDefault="001654C6" w:rsidP="001654C6">
      <w:pPr>
        <w:tabs>
          <w:tab w:val="left" w:pos="360"/>
          <w:tab w:val="left" w:pos="3780"/>
          <w:tab w:val="left" w:pos="5040"/>
          <w:tab w:val="left" w:pos="6120"/>
          <w:tab w:val="left" w:pos="7110"/>
          <w:tab w:val="left" w:pos="7830"/>
          <w:tab w:val="left" w:pos="8460"/>
          <w:tab w:val="left" w:pos="10800"/>
        </w:tabs>
        <w:spacing w:before="120" w:after="0" w:line="240" w:lineRule="auto"/>
        <w:rPr>
          <w:rFonts w:ascii="Times New Roman" w:hAnsi="Times New Roman"/>
          <w:sz w:val="20"/>
        </w:rPr>
      </w:pPr>
    </w:p>
    <w:p w:rsidR="001654C6"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User Guide Series</w:t>
      </w:r>
      <w:r w:rsidRPr="00AF4D2E">
        <w:rPr>
          <w:rFonts w:ascii="Times New Roman" w:hAnsi="Times New Roman"/>
          <w:sz w:val="20"/>
          <w:szCs w:val="20"/>
        </w:rPr>
        <w:tab/>
        <w:t>—</w:t>
      </w:r>
      <w:r w:rsidRPr="00AF4D2E">
        <w:rPr>
          <w:rFonts w:ascii="Times New Roman" w:hAnsi="Times New Roman"/>
          <w:sz w:val="20"/>
          <w:szCs w:val="20"/>
        </w:rPr>
        <w:tab/>
      </w:r>
      <w:r>
        <w:rPr>
          <w:rFonts w:ascii="Times New Roman" w:hAnsi="Times New Roman"/>
          <w:sz w:val="20"/>
          <w:szCs w:val="20"/>
        </w:rPr>
        <w:t>—</w:t>
      </w:r>
      <w:r w:rsidRPr="00AF4D2E">
        <w:rPr>
          <w:rFonts w:ascii="Times New Roman" w:hAnsi="Times New Roman"/>
          <w:sz w:val="20"/>
          <w:szCs w:val="20"/>
        </w:rPr>
        <w:tab/>
        <w:t>—</w:t>
      </w:r>
      <w:r w:rsidRPr="00AF4D2E">
        <w:rPr>
          <w:rFonts w:ascii="Times New Roman" w:hAnsi="Times New Roman"/>
          <w:sz w:val="20"/>
          <w:szCs w:val="20"/>
        </w:rPr>
        <w:tab/>
      </w:r>
      <w:r w:rsidR="0025763F">
        <w:rPr>
          <w:rFonts w:ascii="Times New Roman" w:hAnsi="Times New Roman"/>
          <w:sz w:val="20"/>
          <w:szCs w:val="20"/>
        </w:rPr>
        <w:t>—</w:t>
      </w:r>
      <w:r w:rsidR="0025763F">
        <w:rPr>
          <w:rFonts w:ascii="Times New Roman" w:hAnsi="Times New Roman"/>
          <w:sz w:val="20"/>
          <w:szCs w:val="20"/>
        </w:rPr>
        <w:tab/>
        <w:t>3</w:t>
      </w:r>
      <w:r w:rsidRPr="00AF4D2E">
        <w:rPr>
          <w:rFonts w:ascii="Times New Roman" w:hAnsi="Times New Roman"/>
          <w:sz w:val="20"/>
          <w:szCs w:val="20"/>
        </w:rPr>
        <w:t>Q</w:t>
      </w:r>
      <w:r>
        <w:rPr>
          <w:rFonts w:ascii="Times New Roman" w:hAnsi="Times New Roman"/>
          <w:sz w:val="20"/>
          <w:szCs w:val="20"/>
        </w:rPr>
        <w:t>11</w:t>
      </w:r>
      <w:r w:rsidRPr="00AF4D2E">
        <w:rPr>
          <w:rFonts w:ascii="Times New Roman" w:hAnsi="Times New Roman"/>
          <w:sz w:val="20"/>
          <w:szCs w:val="20"/>
        </w:rPr>
        <w:tab/>
      </w:r>
      <w:r>
        <w:rPr>
          <w:rFonts w:ascii="Times New Roman" w:hAnsi="Times New Roman"/>
          <w:sz w:val="20"/>
          <w:szCs w:val="20"/>
        </w:rPr>
        <w:t>Dean Mead</w:t>
      </w:r>
      <w:r>
        <w:rPr>
          <w:rFonts w:ascii="Times New Roman" w:hAnsi="Times New Roman"/>
          <w:sz w:val="20"/>
          <w:szCs w:val="20"/>
        </w:rPr>
        <w:tab/>
        <w:t>294</w:t>
      </w:r>
    </w:p>
    <w:p w:rsidR="001654C6" w:rsidRDefault="001654C6" w:rsidP="001654C6">
      <w:pPr>
        <w:shd w:val="clear" w:color="auto" w:fill="D9D9D9"/>
        <w:tabs>
          <w:tab w:val="left" w:pos="360"/>
          <w:tab w:val="left" w:pos="3780"/>
          <w:tab w:val="left" w:pos="4950"/>
          <w:tab w:val="left" w:pos="6120"/>
          <w:tab w:val="left" w:pos="720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Pr>
          <w:rFonts w:ascii="Times New Roman" w:hAnsi="Times New Roman"/>
          <w:sz w:val="20"/>
          <w:szCs w:val="20"/>
        </w:rPr>
        <w:t>Kip Betz</w:t>
      </w:r>
      <w:r>
        <w:rPr>
          <w:rFonts w:ascii="Times New Roman" w:hAnsi="Times New Roman"/>
          <w:sz w:val="20"/>
          <w:szCs w:val="20"/>
        </w:rPr>
        <w:tab/>
        <w:t>201</w:t>
      </w:r>
    </w:p>
    <w:p w:rsidR="001654C6" w:rsidRDefault="001654C6" w:rsidP="001654C6">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1654C6" w:rsidRDefault="001654C6" w:rsidP="001654C6">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1654C6" w:rsidRPr="00C1468D" w:rsidRDefault="001654C6" w:rsidP="001654C6">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1654C6" w:rsidRPr="00C1468D" w:rsidRDefault="001654C6" w:rsidP="001654C6">
      <w:pPr>
        <w:tabs>
          <w:tab w:val="left" w:pos="2160"/>
        </w:tabs>
        <w:spacing w:after="0" w:line="240" w:lineRule="auto"/>
        <w:rPr>
          <w:rFonts w:ascii="Times New Roman" w:hAnsi="Times New Roman"/>
          <w:sz w:val="20"/>
          <w:szCs w:val="20"/>
          <w:u w:val="single"/>
        </w:rPr>
      </w:pPr>
    </w:p>
    <w:p w:rsidR="001654C6" w:rsidRPr="00C1468D" w:rsidRDefault="001654C6" w:rsidP="001654C6">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1654C6" w:rsidRPr="00C1468D" w:rsidRDefault="001654C6" w:rsidP="001654C6">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1654C6" w:rsidRPr="00C1468D" w:rsidRDefault="001654C6" w:rsidP="001654C6">
      <w:pPr>
        <w:spacing w:after="0" w:line="240" w:lineRule="auto"/>
        <w:rPr>
          <w:rFonts w:ascii="Times New Roman" w:hAnsi="Times New Roman"/>
          <w:i/>
          <w:sz w:val="20"/>
          <w:szCs w:val="20"/>
        </w:rPr>
      </w:pPr>
    </w:p>
    <w:p w:rsidR="001654C6" w:rsidRPr="00C1468D" w:rsidRDefault="001654C6" w:rsidP="001654C6">
      <w:pPr>
        <w:spacing w:after="0" w:line="240" w:lineRule="auto"/>
        <w:rPr>
          <w:rFonts w:ascii="Times New Roman" w:hAnsi="Times New Roman"/>
          <w:i/>
          <w:sz w:val="20"/>
          <w:szCs w:val="20"/>
        </w:rPr>
      </w:pPr>
    </w:p>
    <w:p w:rsidR="001654C6" w:rsidRDefault="001654C6" w:rsidP="001654C6">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1654C6" w:rsidRDefault="001654C6" w:rsidP="001654C6">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p>
    <w:p w:rsidR="001654C6" w:rsidRPr="00C1468D" w:rsidRDefault="001654C6" w:rsidP="001654C6">
      <w:pPr>
        <w:tabs>
          <w:tab w:val="left" w:pos="5760"/>
          <w:tab w:val="left" w:pos="6480"/>
        </w:tabs>
        <w:spacing w:after="0" w:line="240" w:lineRule="auto"/>
        <w:rPr>
          <w:rFonts w:ascii="Times New Roman" w:hAnsi="Times New Roman"/>
        </w:rPr>
      </w:pPr>
    </w:p>
    <w:p w:rsidR="001654C6" w:rsidRDefault="001654C6" w:rsidP="001654C6">
      <w:pPr>
        <w:tabs>
          <w:tab w:val="left" w:pos="3600"/>
          <w:tab w:val="left" w:pos="6480"/>
        </w:tabs>
        <w:spacing w:after="0" w:line="240" w:lineRule="auto"/>
        <w:rPr>
          <w:rFonts w:ascii="Times New Roman" w:hAnsi="Times New Roman"/>
          <w:i/>
          <w:iCs/>
          <w:sz w:val="20"/>
          <w:szCs w:val="20"/>
        </w:rPr>
      </w:pPr>
    </w:p>
    <w:p w:rsidR="001654C6" w:rsidRPr="00C1468D" w:rsidRDefault="001654C6" w:rsidP="001654C6">
      <w:pPr>
        <w:tabs>
          <w:tab w:val="left" w:pos="3600"/>
          <w:tab w:val="left" w:pos="6480"/>
        </w:tabs>
        <w:spacing w:after="0" w:line="240" w:lineRule="auto"/>
        <w:rPr>
          <w:rFonts w:ascii="Times New Roman" w:hAnsi="Times New Roman"/>
        </w:rPr>
      </w:pPr>
    </w:p>
    <w:p w:rsidR="001654C6" w:rsidRDefault="001654C6" w:rsidP="001654C6">
      <w:pPr>
        <w:spacing w:after="0" w:line="240" w:lineRule="auto"/>
        <w:rPr>
          <w:rFonts w:ascii="Times New Roman" w:hAnsi="Times New Roman"/>
          <w:b/>
          <w:i/>
          <w:sz w:val="32"/>
          <w:szCs w:val="32"/>
        </w:rPr>
        <w:sectPr w:rsidR="001654C6" w:rsidSect="001654C6">
          <w:pgSz w:w="12240" w:h="15840" w:code="1"/>
          <w:pgMar w:top="432" w:right="432" w:bottom="432" w:left="432" w:header="432" w:footer="432" w:gutter="0"/>
          <w:cols w:space="720"/>
          <w:docGrid w:linePitch="360"/>
        </w:sectPr>
      </w:pPr>
    </w:p>
    <w:p w:rsidR="004A2BD0" w:rsidRPr="0082376C" w:rsidRDefault="004A2BD0" w:rsidP="004A2BD0">
      <w:pPr>
        <w:spacing w:after="0" w:line="240" w:lineRule="auto"/>
        <w:rPr>
          <w:rFonts w:ascii="Times New Roman" w:hAnsi="Times New Roman" w:cs="Times New Roman"/>
          <w:b/>
          <w:i/>
          <w:sz w:val="32"/>
          <w:szCs w:val="32"/>
        </w:rPr>
      </w:pPr>
      <w:r w:rsidRPr="0082376C">
        <w:rPr>
          <w:rFonts w:ascii="Times New Roman" w:hAnsi="Times New Roman" w:cs="Times New Roman"/>
          <w:b/>
          <w:i/>
          <w:sz w:val="32"/>
          <w:szCs w:val="32"/>
        </w:rPr>
        <w:lastRenderedPageBreak/>
        <w:t>Technical Plan for the Second Four Months of 2011</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In April, the Board reviewed its second third 2011 technical plan and provided input to the GASB chairman. After considering Board members’ views and the views previously stated by the Governmental Accounting Standards Advisory Council members, the chairman approved the technical plan.</w:t>
      </w:r>
    </w:p>
    <w:p w:rsidR="004A2BD0" w:rsidRPr="004A2BD0" w:rsidRDefault="004A2BD0" w:rsidP="004A2BD0">
      <w:pPr>
        <w:spacing w:after="0" w:line="240" w:lineRule="auto"/>
        <w:rPr>
          <w:rFonts w:ascii="Times New Roman" w:hAnsi="Times New Roman" w:cs="Times New Roman"/>
          <w:sz w:val="24"/>
          <w:szCs w:val="24"/>
        </w:rPr>
      </w:pPr>
    </w:p>
    <w:p w:rsidR="004A2BD0" w:rsidRPr="0082376C" w:rsidRDefault="004A2BD0" w:rsidP="004A2BD0">
      <w:pPr>
        <w:spacing w:after="0" w:line="240" w:lineRule="auto"/>
        <w:rPr>
          <w:rFonts w:ascii="Times New Roman" w:hAnsi="Times New Roman" w:cs="Times New Roman"/>
          <w:b/>
          <w:i/>
          <w:sz w:val="28"/>
          <w:szCs w:val="28"/>
        </w:rPr>
      </w:pPr>
      <w:r w:rsidRPr="0082376C">
        <w:rPr>
          <w:rFonts w:ascii="Times New Roman" w:hAnsi="Times New Roman" w:cs="Times New Roman"/>
          <w:b/>
          <w:i/>
          <w:sz w:val="28"/>
          <w:szCs w:val="28"/>
        </w:rPr>
        <w:t>Project on Financial Guarantees Added to Current Agenda</w:t>
      </w:r>
    </w:p>
    <w:p w:rsidR="0082376C" w:rsidRDefault="0082376C"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technical plan for the second third of 2011 includes a new current agenda project on financial guarantees. (Please see the related article on page 1.) In addition, projects addressing lease accounting and the hierarchy of generally accepted accounting principles were added to the research agenda. The technical plan also reflects the start of Board deliberations on other postemployment benefits as part of the broader postemployment benefits project.</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i/>
          <w:sz w:val="24"/>
          <w:szCs w:val="24"/>
        </w:rPr>
      </w:pPr>
      <w:r w:rsidRPr="004A2BD0">
        <w:rPr>
          <w:rFonts w:ascii="Times New Roman" w:hAnsi="Times New Roman" w:cs="Times New Roman"/>
          <w:sz w:val="24"/>
          <w:szCs w:val="24"/>
        </w:rPr>
        <w:t xml:space="preserve">The technical plan anticipates, in addition to the continued deliberation of projects on the GASB’s current technical agenda, the issuance of a Preliminary Views on recognition and measurement attributes under the conceptual framework; two Exposure Drafts in the pension accounting and financial reporting project: one on employer accounting and financial reporting, and one on plan accounting and financial reporting; and the 2011–2012 </w:t>
      </w:r>
      <w:r w:rsidRPr="0082376C">
        <w:rPr>
          <w:rFonts w:ascii="Times New Roman" w:hAnsi="Times New Roman" w:cs="Times New Roman"/>
          <w:i/>
          <w:sz w:val="24"/>
          <w:szCs w:val="24"/>
        </w:rPr>
        <w:t>Comprehensive Implementation Guide.</w:t>
      </w:r>
    </w:p>
    <w:p w:rsidR="00A73358" w:rsidRPr="0082376C" w:rsidRDefault="00A73358" w:rsidP="004A2BD0">
      <w:pPr>
        <w:spacing w:after="0" w:line="240" w:lineRule="auto"/>
        <w:rPr>
          <w:rFonts w:ascii="Times New Roman" w:hAnsi="Times New Roman" w:cs="Times New Roman"/>
          <w:i/>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A summary of the objectives and status of each of the projects on the Board’s current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second third of 2011, which can be viewed or downloaded at the GASB website at www.gasb.org.</w:t>
      </w:r>
    </w:p>
    <w:p w:rsidR="004A2BD0" w:rsidRPr="004A2BD0" w:rsidRDefault="004A2BD0" w:rsidP="004A2BD0">
      <w:pPr>
        <w:spacing w:after="0" w:line="240" w:lineRule="auto"/>
        <w:rPr>
          <w:rFonts w:ascii="Times New Roman" w:hAnsi="Times New Roman" w:cs="Times New Roman"/>
          <w:sz w:val="24"/>
          <w:szCs w:val="24"/>
        </w:rPr>
      </w:pPr>
    </w:p>
    <w:p w:rsidR="004A2BD0" w:rsidRPr="0082376C" w:rsidRDefault="004A2BD0" w:rsidP="004A2BD0">
      <w:pPr>
        <w:spacing w:after="0" w:line="240" w:lineRule="auto"/>
        <w:rPr>
          <w:rFonts w:ascii="Times New Roman" w:hAnsi="Times New Roman" w:cs="Times New Roman"/>
          <w:b/>
          <w:i/>
          <w:sz w:val="28"/>
          <w:szCs w:val="28"/>
        </w:rPr>
      </w:pPr>
      <w:r w:rsidRPr="0082376C">
        <w:rPr>
          <w:rFonts w:ascii="Times New Roman" w:hAnsi="Times New Roman" w:cs="Times New Roman"/>
          <w:b/>
          <w:i/>
          <w:sz w:val="28"/>
          <w:szCs w:val="28"/>
        </w:rPr>
        <w:t>Current Agenda Projects</w:t>
      </w:r>
    </w:p>
    <w:p w:rsidR="0082376C" w:rsidRDefault="0082376C" w:rsidP="004A2BD0">
      <w:pPr>
        <w:spacing w:after="0" w:line="240" w:lineRule="auto"/>
        <w:rPr>
          <w:rFonts w:ascii="Times New Roman" w:hAnsi="Times New Roman" w:cs="Times New Roman"/>
          <w:sz w:val="24"/>
          <w:szCs w:val="24"/>
        </w:rPr>
      </w:pPr>
    </w:p>
    <w:p w:rsidR="004A2BD0" w:rsidRPr="0082376C" w:rsidRDefault="004A2BD0" w:rsidP="004A2BD0">
      <w:pPr>
        <w:spacing w:after="0" w:line="240" w:lineRule="auto"/>
        <w:rPr>
          <w:rFonts w:ascii="Times New Roman" w:hAnsi="Times New Roman" w:cs="Times New Roman"/>
          <w:b/>
          <w:i/>
          <w:sz w:val="24"/>
          <w:szCs w:val="24"/>
        </w:rPr>
      </w:pPr>
      <w:r w:rsidRPr="0082376C">
        <w:rPr>
          <w:rFonts w:ascii="Times New Roman" w:hAnsi="Times New Roman" w:cs="Times New Roman"/>
          <w:b/>
          <w:i/>
          <w:sz w:val="24"/>
          <w:szCs w:val="24"/>
        </w:rPr>
        <w:t>Conceptual Framework—Recognition and Measurement Approaches</w:t>
      </w:r>
    </w:p>
    <w:p w:rsidR="0082376C" w:rsidRDefault="0082376C"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82376C">
        <w:rPr>
          <w:rFonts w:ascii="Times New Roman" w:hAnsi="Times New Roman" w:cs="Times New Roman"/>
          <w:b/>
          <w:i/>
          <w:color w:val="7F7F7F" w:themeColor="text1" w:themeTint="80"/>
          <w:sz w:val="24"/>
          <w:szCs w:val="24"/>
        </w:rPr>
        <w:t>Primary Objectives:</w:t>
      </w:r>
      <w:r w:rsidRPr="004A2BD0">
        <w:rPr>
          <w:rFonts w:ascii="Times New Roman" w:hAnsi="Times New Roman" w:cs="Times New Roman"/>
          <w:sz w:val="24"/>
          <w:szCs w:val="24"/>
        </w:rPr>
        <w:t xml:space="preserve"> This project has two primary objectives. The first objective is to develop recognition criteria for whether information should be reported in state and local governmental financial statements and </w:t>
      </w:r>
      <w:r w:rsidRPr="0082376C">
        <w:rPr>
          <w:rFonts w:ascii="Times New Roman" w:hAnsi="Times New Roman" w:cs="Times New Roman"/>
          <w:i/>
          <w:sz w:val="24"/>
          <w:szCs w:val="24"/>
        </w:rPr>
        <w:t>when</w:t>
      </w:r>
      <w:r w:rsidRPr="004A2BD0">
        <w:rPr>
          <w:rFonts w:ascii="Times New Roman" w:hAnsi="Times New Roman" w:cs="Times New Roman"/>
          <w:sz w:val="24"/>
          <w:szCs w:val="24"/>
        </w:rPr>
        <w:t xml:space="preserve"> that information should be reported. The second objective is to consider the measurement approach or measurement approaches that conceptually should be used in governmental financial statements. This project ultimately will lead to a Concepts Statement.</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82376C">
        <w:rPr>
          <w:rFonts w:ascii="Times New Roman" w:hAnsi="Times New Roman" w:cs="Times New Roman"/>
          <w:b/>
          <w:i/>
          <w:color w:val="7F7F7F" w:themeColor="text1" w:themeTint="80"/>
          <w:sz w:val="24"/>
          <w:szCs w:val="24"/>
        </w:rPr>
        <w:t>Looking Ahead:</w:t>
      </w:r>
      <w:r w:rsidRPr="004A2BD0">
        <w:rPr>
          <w:rFonts w:ascii="Times New Roman" w:hAnsi="Times New Roman" w:cs="Times New Roman"/>
          <w:sz w:val="24"/>
          <w:szCs w:val="24"/>
        </w:rPr>
        <w:t xml:space="preserve"> During the second third of 2011, Board activities will continue to focus on development of a Preliminary Views. The Preliminary Views is expected to be approved for release in June.</w:t>
      </w:r>
    </w:p>
    <w:p w:rsidR="0082376C" w:rsidRDefault="0082376C" w:rsidP="004A2BD0">
      <w:pPr>
        <w:spacing w:after="0" w:line="240" w:lineRule="auto"/>
        <w:rPr>
          <w:rFonts w:ascii="Times New Roman" w:hAnsi="Times New Roman" w:cs="Times New Roman"/>
          <w:sz w:val="24"/>
          <w:szCs w:val="24"/>
        </w:rPr>
      </w:pPr>
    </w:p>
    <w:p w:rsidR="004A2BD0" w:rsidRPr="0082376C" w:rsidRDefault="004A2BD0" w:rsidP="004A2BD0">
      <w:pPr>
        <w:spacing w:after="0" w:line="240" w:lineRule="auto"/>
        <w:rPr>
          <w:rFonts w:ascii="Times New Roman" w:hAnsi="Times New Roman" w:cs="Times New Roman"/>
          <w:b/>
          <w:i/>
          <w:sz w:val="24"/>
          <w:szCs w:val="24"/>
        </w:rPr>
      </w:pPr>
      <w:r w:rsidRPr="0082376C">
        <w:rPr>
          <w:rFonts w:ascii="Times New Roman" w:hAnsi="Times New Roman" w:cs="Times New Roman"/>
          <w:b/>
          <w:i/>
          <w:sz w:val="24"/>
          <w:szCs w:val="24"/>
        </w:rPr>
        <w:t>Economic Condition Reporting—Fiscal Sustainability</w:t>
      </w:r>
    </w:p>
    <w:p w:rsidR="0082376C" w:rsidRDefault="0082376C"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82376C">
        <w:rPr>
          <w:rFonts w:ascii="Times New Roman" w:hAnsi="Times New Roman" w:cs="Times New Roman"/>
          <w:b/>
          <w:i/>
          <w:color w:val="7F7F7F" w:themeColor="text1" w:themeTint="80"/>
          <w:sz w:val="24"/>
          <w:szCs w:val="24"/>
        </w:rPr>
        <w:lastRenderedPageBreak/>
        <w:t>Primary Objective:</w:t>
      </w:r>
      <w:r w:rsidRPr="004A2BD0">
        <w:rPr>
          <w:rFonts w:ascii="Times New Roman" w:hAnsi="Times New Roman" w:cs="Times New Roman"/>
          <w:sz w:val="24"/>
          <w:szCs w:val="24"/>
        </w:rPr>
        <w:t xml:space="preserve"> The objective of this project is to consider whether guidance or guidelines should be provided for additional information about economic condition, particularly fiscal sustainability,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82376C" w:rsidRDefault="0082376C"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82376C">
        <w:rPr>
          <w:rFonts w:ascii="Times New Roman" w:hAnsi="Times New Roman" w:cs="Times New Roman"/>
          <w:b/>
          <w:i/>
          <w:color w:val="7F7F7F" w:themeColor="text1" w:themeTint="80"/>
          <w:sz w:val="24"/>
          <w:szCs w:val="24"/>
        </w:rPr>
        <w:t>Looking Ahead:</w:t>
      </w:r>
      <w:r w:rsidRPr="004A2BD0">
        <w:rPr>
          <w:rFonts w:ascii="Times New Roman" w:hAnsi="Times New Roman" w:cs="Times New Roman"/>
          <w:sz w:val="24"/>
          <w:szCs w:val="24"/>
        </w:rPr>
        <w:t xml:space="preserve"> During the second third of 2011, Board activities will continue to focus on development of a Preliminary Views. The Preliminary Views is scheduled to be released in October.</w:t>
      </w:r>
    </w:p>
    <w:p w:rsidR="00E81E6D" w:rsidRPr="004A2BD0"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Financial Guarantees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Primary Objective:</w:t>
      </w:r>
      <w:r w:rsidRPr="004A2BD0">
        <w:rPr>
          <w:rFonts w:ascii="Times New Roman" w:hAnsi="Times New Roman" w:cs="Times New Roman"/>
          <w:sz w:val="24"/>
          <w:szCs w:val="24"/>
        </w:rPr>
        <w:t xml:space="preserve"> The objective of this project is to establish additional guidance regarding the recognition and disclosure of financial guarantees made and received by state and local governments.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Looking Ahead:</w:t>
      </w:r>
      <w:r w:rsidRPr="004A2BD0">
        <w:rPr>
          <w:rFonts w:ascii="Times New Roman" w:hAnsi="Times New Roman" w:cs="Times New Roman"/>
          <w:sz w:val="24"/>
          <w:szCs w:val="24"/>
        </w:rPr>
        <w:t xml:space="preserve"> During the second third of 2011, Board activities will include consideration of scope issues, review of relevant accounting literature, and deliberation of recognition issues.</w:t>
      </w:r>
    </w:p>
    <w:p w:rsidR="00E81E6D"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Government Combinations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Primary Objective:</w:t>
      </w:r>
      <w:r w:rsidRPr="004A2BD0">
        <w:rPr>
          <w:rFonts w:ascii="Times New Roman" w:hAnsi="Times New Roman" w:cs="Times New Roman"/>
          <w:sz w:val="24"/>
          <w:szCs w:val="24"/>
        </w:rPr>
        <w:t xml:space="preserve"> The objective of this project is to consider the financial reporting requirements for government combinations that are accomplished through annexation, consolidation, acquisition, or other means. In addition, the project addresses certain spin-off issues; for example, accounting for a library district that was formerly a department in a primary government.</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Looking Ahead:</w:t>
      </w:r>
      <w:r w:rsidRPr="004A2BD0">
        <w:rPr>
          <w:rFonts w:ascii="Times New Roman" w:hAnsi="Times New Roman" w:cs="Times New Roman"/>
          <w:sz w:val="24"/>
          <w:szCs w:val="24"/>
        </w:rPr>
        <w:t xml:space="preserve"> During the second third of 2011, the Board will deliberate issues related to general purpose government combinations in which no consideration is given (for example, mergers, consolidations, and annexations). Issuance of an Exposure Draft is planned for April 2012.</w:t>
      </w:r>
    </w:p>
    <w:p w:rsidR="00E81E6D"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Postemployment Benefit Accounting and Financial Reporting: Other Postemployment Benefit Accounting and Financial Reporting</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Primary Objective:</w:t>
      </w:r>
      <w:r w:rsidRPr="004A2BD0">
        <w:rPr>
          <w:rFonts w:ascii="Times New Roman" w:hAnsi="Times New Roman" w:cs="Times New Roman"/>
          <w:sz w:val="24"/>
          <w:szCs w:val="24"/>
        </w:rPr>
        <w:t xml:space="preserve"> The Board will consider the possibility of improvements to the existing standards of accounting and financial reporting for postemployment benefits—including other postemployment benefits (OPEB)—by state and local governmental employers and by the trustees, administrators, or sponsors of OPEB plans. One objective of this project is to improve accountability and the transparency of financial reporting in regard to the financial effects of employers’ commitments and actions related to OPEB. This objective would include improving the information provided to help financial report users assess the degree to which </w:t>
      </w:r>
      <w:r w:rsidRPr="00E81E6D">
        <w:rPr>
          <w:rFonts w:ascii="Times New Roman" w:hAnsi="Times New Roman" w:cs="Times New Roman"/>
          <w:i/>
          <w:sz w:val="24"/>
          <w:szCs w:val="24"/>
        </w:rPr>
        <w:t>interperiod equity</w:t>
      </w:r>
      <w:r w:rsidRPr="004A2BD0">
        <w:rPr>
          <w:rFonts w:ascii="Times New Roman" w:hAnsi="Times New Roman" w:cs="Times New Roman"/>
          <w:sz w:val="24"/>
          <w:szCs w:val="24"/>
        </w:rPr>
        <w:t xml:space="preserve"> has been achieved. The other objective of this project is to improve the </w:t>
      </w:r>
      <w:r w:rsidRPr="00E81E6D">
        <w:rPr>
          <w:rFonts w:ascii="Times New Roman" w:hAnsi="Times New Roman" w:cs="Times New Roman"/>
          <w:i/>
          <w:sz w:val="24"/>
          <w:szCs w:val="24"/>
        </w:rPr>
        <w:t>usefulness</w:t>
      </w:r>
      <w:r w:rsidRPr="004A2BD0">
        <w:rPr>
          <w:rFonts w:ascii="Times New Roman" w:hAnsi="Times New Roman" w:cs="Times New Roman"/>
          <w:sz w:val="24"/>
          <w:szCs w:val="24"/>
        </w:rPr>
        <w:t xml:space="preserve"> of information for decisions or judgments of relevance to the various users of the general purpose external financial reports of governmental employers and OPEB plans.</w:t>
      </w:r>
    </w:p>
    <w:p w:rsidR="00E81E6D" w:rsidRDefault="00E81E6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lastRenderedPageBreak/>
        <w:t>Looking Ahead:</w:t>
      </w:r>
      <w:r w:rsidRPr="004A2BD0">
        <w:rPr>
          <w:rFonts w:ascii="Times New Roman" w:hAnsi="Times New Roman" w:cs="Times New Roman"/>
          <w:sz w:val="24"/>
          <w:szCs w:val="24"/>
        </w:rPr>
        <w:t xml:space="preserve"> In preparation for deliberations that will take place in the final third of 2011, the Board will begin to examine OPEB issues at the August meeting, including the identification of potential differences between pension and OPEB accounting and financial reporting. An Exposure Draft is planned for June 2012.</w:t>
      </w:r>
    </w:p>
    <w:p w:rsidR="00E81E6D" w:rsidRPr="004A2BD0"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Postemployment Benefit Accounting and Financial Reporting: Pension Accounting and Financial Reporting</w:t>
      </w:r>
    </w:p>
    <w:p w:rsidR="00E81E6D" w:rsidRPr="004A2BD0"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Primary Objective:</w:t>
      </w:r>
      <w:r w:rsidRPr="004A2BD0">
        <w:rPr>
          <w:rFonts w:ascii="Times New Roman" w:hAnsi="Times New Roman" w:cs="Times New Roman"/>
          <w:sz w:val="24"/>
          <w:szCs w:val="24"/>
        </w:rPr>
        <w:t xml:space="preserve"> The Board will consider the possibility of improvements to the existing standards of accounting and financial reporting for postemployment benefits—including pension benefits—by state and local governmental employers and by the trustees, administrators, or sponsors of pension plans. One objective of this project is to improve accountability and the transparency of financial reporting in regard to the financial effects of employers’ commitments and actions related to pension benefits. This objective would include improving the information provided to help financial report users assess the degree to which </w:t>
      </w:r>
      <w:r w:rsidRPr="00E81E6D">
        <w:rPr>
          <w:rFonts w:ascii="Times New Roman" w:hAnsi="Times New Roman" w:cs="Times New Roman"/>
          <w:i/>
          <w:sz w:val="24"/>
          <w:szCs w:val="24"/>
        </w:rPr>
        <w:t>interperiod equity</w:t>
      </w:r>
      <w:r w:rsidRPr="004A2BD0">
        <w:rPr>
          <w:rFonts w:ascii="Times New Roman" w:hAnsi="Times New Roman" w:cs="Times New Roman"/>
          <w:sz w:val="24"/>
          <w:szCs w:val="24"/>
        </w:rPr>
        <w:t xml:space="preserve"> has been achieved. The other objective of this project is to improve the </w:t>
      </w:r>
      <w:r w:rsidRPr="00E81E6D">
        <w:rPr>
          <w:rFonts w:ascii="Times New Roman" w:hAnsi="Times New Roman" w:cs="Times New Roman"/>
          <w:i/>
          <w:sz w:val="24"/>
          <w:szCs w:val="24"/>
        </w:rPr>
        <w:t>usefulness</w:t>
      </w:r>
      <w:r w:rsidRPr="004A2BD0">
        <w:rPr>
          <w:rFonts w:ascii="Times New Roman" w:hAnsi="Times New Roman" w:cs="Times New Roman"/>
          <w:sz w:val="24"/>
          <w:szCs w:val="24"/>
        </w:rPr>
        <w:t xml:space="preserve"> of information for decisions or judgments of relevance to the various users of the general purpose external financial reports of governmental employers and pension plans.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Looking Ahead:</w:t>
      </w:r>
      <w:r w:rsidRPr="004A2BD0">
        <w:rPr>
          <w:rFonts w:ascii="Times New Roman" w:hAnsi="Times New Roman" w:cs="Times New Roman"/>
          <w:sz w:val="24"/>
          <w:szCs w:val="24"/>
        </w:rPr>
        <w:t xml:space="preserve"> During the second third of 2011, the Board will discuss remaining technical issues associated with employer and pension plan reporting and then prepare for approval in June Exposure Drafts on employer and plan pension accounting and financial reporting issues. </w:t>
      </w:r>
    </w:p>
    <w:p w:rsidR="004A2BD0" w:rsidRPr="004A2BD0" w:rsidRDefault="004A2BD0"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8"/>
          <w:szCs w:val="28"/>
        </w:rPr>
      </w:pPr>
      <w:r w:rsidRPr="00E81E6D">
        <w:rPr>
          <w:rFonts w:ascii="Times New Roman" w:hAnsi="Times New Roman" w:cs="Times New Roman"/>
          <w:b/>
          <w:i/>
          <w:sz w:val="28"/>
          <w:szCs w:val="28"/>
        </w:rPr>
        <w:t>Practice Issues</w:t>
      </w:r>
    </w:p>
    <w:p w:rsidR="00E81E6D" w:rsidRDefault="00E81E6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Comprehensive Implementation Guide—Update:</w:t>
      </w:r>
      <w:r w:rsidRPr="004A2BD0">
        <w:rPr>
          <w:rFonts w:ascii="Times New Roman" w:hAnsi="Times New Roman" w:cs="Times New Roman"/>
          <w:sz w:val="24"/>
          <w:szCs w:val="24"/>
        </w:rPr>
        <w:t xml:space="preserve"> The objective of this project is to update the </w:t>
      </w:r>
      <w:r w:rsidRPr="00E81E6D">
        <w:rPr>
          <w:rFonts w:ascii="Times New Roman" w:hAnsi="Times New Roman" w:cs="Times New Roman"/>
          <w:i/>
          <w:sz w:val="24"/>
          <w:szCs w:val="24"/>
        </w:rPr>
        <w:t>Comprehensive Implementation Guide</w:t>
      </w:r>
      <w:r w:rsidRPr="004A2BD0">
        <w:rPr>
          <w:rFonts w:ascii="Times New Roman" w:hAnsi="Times New Roman" w:cs="Times New Roman"/>
          <w:sz w:val="24"/>
          <w:szCs w:val="24"/>
        </w:rPr>
        <w:t xml:space="preserve"> for the effects of new pronouncements and for additional issues that have come to the attention of the staff. The 2011–2012 guide is scheduled for approval in June and issuance in August 2011.</w:t>
      </w:r>
    </w:p>
    <w:p w:rsidR="00E81E6D" w:rsidRPr="004A2BD0"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Deferred Inflows of Resources and Deferred Outflows of Resources—Omnibus:</w:t>
      </w:r>
      <w:r w:rsidRPr="004A2BD0">
        <w:rPr>
          <w:rFonts w:ascii="Times New Roman" w:hAnsi="Times New Roman" w:cs="Times New Roman"/>
          <w:sz w:val="24"/>
          <w:szCs w:val="24"/>
        </w:rPr>
        <w:t xml:space="preserve"> The objectives of this project are to (1) identify requirements in the existing authoritative literature to recognize balances that appear to meet the definitions of deferred outflows of resources or deferred inflows of resources and (2) determine whether those balances should continue to be recognized as assets or liabilities, be reclassified as deferred outflows and deferred inflows, or be recognized as revenue or expenses/expenditures for financial reporting purposes. An Exposure Draft is planned for issuance in July 2011. </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Derivatives: Application of Termination Provisions:</w:t>
      </w:r>
      <w:r w:rsidRPr="004A2BD0">
        <w:rPr>
          <w:rFonts w:ascii="Times New Roman" w:hAnsi="Times New Roman" w:cs="Times New Roman"/>
          <w:sz w:val="24"/>
          <w:szCs w:val="24"/>
        </w:rPr>
        <w:t xml:space="preserve"> The objective of this project is to clarify when the termination provisions in Statement No. 53, </w:t>
      </w:r>
      <w:r w:rsidRPr="00E81E6D">
        <w:rPr>
          <w:rFonts w:ascii="Times New Roman" w:hAnsi="Times New Roman" w:cs="Times New Roman"/>
          <w:i/>
          <w:sz w:val="24"/>
          <w:szCs w:val="24"/>
        </w:rPr>
        <w:t>Accounting and Financial Reporting for Derivative Instruments,</w:t>
      </w:r>
      <w:r w:rsidRPr="004A2BD0">
        <w:rPr>
          <w:rFonts w:ascii="Times New Roman" w:hAnsi="Times New Roman" w:cs="Times New Roman"/>
          <w:sz w:val="24"/>
          <w:szCs w:val="24"/>
        </w:rPr>
        <w:t xml:space="preserve"> apply in situations where a default event under the terms of the swap agreement occurs related to the counterparty for an interest rate swap. The comment period on the January 2011 Exposure Draft concluded in April. The Board will redeliberate issues based on public comment in May. Approval of a final Statement is planned for June 2011.</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lastRenderedPageBreak/>
        <w:t>Statement of Net Position:</w:t>
      </w:r>
      <w:r w:rsidRPr="004A2BD0">
        <w:rPr>
          <w:rFonts w:ascii="Times New Roman" w:hAnsi="Times New Roman" w:cs="Times New Roman"/>
          <w:sz w:val="24"/>
          <w:szCs w:val="24"/>
        </w:rPr>
        <w:t xml:space="preserve"> The objectives of this project are to develop guidance for the display of deferred inflows and deferred outflows of resources in the financial statements, and to consider the effects of the related changes on other elements presented in a statement of financial position. The project would determine what amendments, if any, should be made to the requirements of Statement No. 34, </w:t>
      </w:r>
      <w:r w:rsidRPr="00E81E6D">
        <w:rPr>
          <w:rFonts w:ascii="Times New Roman" w:hAnsi="Times New Roman" w:cs="Times New Roman"/>
          <w:i/>
          <w:sz w:val="24"/>
          <w:szCs w:val="24"/>
        </w:rPr>
        <w:t>Basic Financial Statements—and Management’s Discussion and Analysis—for State and Local Governments.</w:t>
      </w:r>
      <w:r w:rsidRPr="004A2BD0">
        <w:rPr>
          <w:rFonts w:ascii="Times New Roman" w:hAnsi="Times New Roman" w:cs="Times New Roman"/>
          <w:sz w:val="24"/>
          <w:szCs w:val="24"/>
        </w:rPr>
        <w:t xml:space="preserve"> The comment period on the November 2010 Exposure Draft concluded in February. Approval of a final Statement is planned for June 2011.</w:t>
      </w:r>
    </w:p>
    <w:p w:rsidR="00E81E6D" w:rsidRDefault="00E81E6D"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The User Guide Series:</w:t>
      </w:r>
      <w:r w:rsidRPr="004A2BD0">
        <w:rPr>
          <w:rFonts w:ascii="Times New Roman" w:hAnsi="Times New Roman" w:cs="Times New Roman"/>
          <w:sz w:val="24"/>
          <w:szCs w:val="24"/>
        </w:rPr>
        <w:t xml:space="preserve"> The objective of this project is to update the GASB’s User Guide Series to address accounting and financial reporting standards issued since the publication of the original guides, which was several years ago in some cases. The updated guide on local governments is scheduled for publication in July 2011. The analyst’s guide is scheduled for publication in July, and the school district guide and the guide on business-type activities are scheduled for publication in September.</w:t>
      </w:r>
    </w:p>
    <w:p w:rsidR="00E81E6D" w:rsidRPr="004A2BD0"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8"/>
          <w:szCs w:val="28"/>
        </w:rPr>
      </w:pPr>
      <w:r w:rsidRPr="00E81E6D">
        <w:rPr>
          <w:rFonts w:ascii="Times New Roman" w:hAnsi="Times New Roman" w:cs="Times New Roman"/>
          <w:b/>
          <w:i/>
          <w:sz w:val="28"/>
          <w:szCs w:val="28"/>
        </w:rPr>
        <w:t>Research Projects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Electronic Financial Reporting:</w:t>
      </w:r>
      <w:r w:rsidRPr="004A2BD0">
        <w:rPr>
          <w:rFonts w:ascii="Times New Roman" w:hAnsi="Times New Roman" w:cs="Times New Roman"/>
          <w:sz w:val="24"/>
          <w:szCs w:val="24"/>
        </w:rPr>
        <w:t xml:space="preserve"> The objective of this research project is to monitor the effect of electronic media on information delivery and user needs. Research into the evolving state of the art in electronic financial reporting by state and local governments will provide the Board with a basis for evaluating the need to develop standards for financial reports intended for this medium.</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Fair Value Measurements:</w:t>
      </w:r>
      <w:r w:rsidRPr="004A2BD0">
        <w:rPr>
          <w:rFonts w:ascii="Times New Roman" w:hAnsi="Times New Roman" w:cs="Times New Roman"/>
          <w:sz w:val="24"/>
          <w:szCs w:val="24"/>
        </w:rPr>
        <w:t xml:space="preserve"> The objective of this research project is to review and consider alternatives for the further development of the definition of fair value, the methods used to measure fair value, and the potential disclosures about fair value measurements. Within this review, specific issues including fair value measurement of alternative investments, such as private placements and hedge funds, real estate investment trusts, and partnership interests are to be addressed.</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Fiduciary Responsibilities:</w:t>
      </w:r>
      <w:r w:rsidRPr="004A2BD0">
        <w:rPr>
          <w:rFonts w:ascii="Times New Roman" w:hAnsi="Times New Roman" w:cs="Times New Roman"/>
          <w:sz w:val="24"/>
          <w:szCs w:val="24"/>
        </w:rPr>
        <w:t xml:space="preserve"> The objective of this research project is to assess whether additional guidance should be developed regarding the application of the </w:t>
      </w:r>
      <w:r w:rsidRPr="00E81E6D">
        <w:rPr>
          <w:rFonts w:ascii="Times New Roman" w:hAnsi="Times New Roman" w:cs="Times New Roman"/>
          <w:i/>
          <w:sz w:val="24"/>
          <w:szCs w:val="24"/>
        </w:rPr>
        <w:t>fiduciary responsibility</w:t>
      </w:r>
      <w:r w:rsidRPr="004A2BD0">
        <w:rPr>
          <w:rFonts w:ascii="Times New Roman" w:hAnsi="Times New Roman" w:cs="Times New Roman"/>
          <w:sz w:val="24"/>
          <w:szCs w:val="24"/>
        </w:rPr>
        <w:t xml:space="preserve"> criterion in deciding whether and how governments should report fiduciary activities in their financial reports. Existing standards do not provide a basis for a clear answer to those questions and thus there has been diversity regarding the interpretation of governments’ fiduciary responsibilities.</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GAAP Hierarchy:</w:t>
      </w:r>
      <w:r w:rsidRPr="004A2BD0">
        <w:rPr>
          <w:rFonts w:ascii="Times New Roman" w:hAnsi="Times New Roman" w:cs="Times New Roman"/>
          <w:sz w:val="24"/>
          <w:szCs w:val="24"/>
        </w:rPr>
        <w:t xml:space="preserve"> The objective of this research project is to consider possible modifications to the GAAP hierarchy, as set forth in Statement No. 55, </w:t>
      </w:r>
      <w:r w:rsidRPr="00E81E6D">
        <w:rPr>
          <w:rFonts w:ascii="Times New Roman" w:hAnsi="Times New Roman" w:cs="Times New Roman"/>
          <w:i/>
          <w:sz w:val="24"/>
          <w:szCs w:val="24"/>
        </w:rPr>
        <w:t xml:space="preserve">The Hierarchy of Generally Accepted Accounting Principles for State and Local Governments. </w:t>
      </w:r>
      <w:r w:rsidRPr="004A2BD0">
        <w:rPr>
          <w:rFonts w:ascii="Times New Roman" w:hAnsi="Times New Roman" w:cs="Times New Roman"/>
          <w:sz w:val="24"/>
          <w:szCs w:val="24"/>
        </w:rPr>
        <w:t>It will reexamine the hierarchy levels to assess whether the standards-setting process and governmental financial reporting have sufficiently evolved since the establishment of the original hierarchy by the American Institute of Certified Public Accountants in 1992 to warrant reconsideration or reconfiguration of certain aspects of the structure.</w:t>
      </w:r>
    </w:p>
    <w:p w:rsidR="00E81E6D" w:rsidRDefault="00E81E6D"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E81E6D">
        <w:rPr>
          <w:rFonts w:ascii="Times New Roman" w:hAnsi="Times New Roman" w:cs="Times New Roman"/>
          <w:b/>
          <w:i/>
          <w:color w:val="7F7F7F" w:themeColor="text1" w:themeTint="80"/>
          <w:sz w:val="24"/>
          <w:szCs w:val="24"/>
        </w:rPr>
        <w:t>Lease Accounting:</w:t>
      </w:r>
      <w:r w:rsidRPr="004A2BD0">
        <w:rPr>
          <w:rFonts w:ascii="Times New Roman" w:hAnsi="Times New Roman" w:cs="Times New Roman"/>
          <w:sz w:val="24"/>
          <w:szCs w:val="24"/>
        </w:rPr>
        <w:t xml:space="preserve"> The objective of this research project is the reexamination of issues associated with lease accounting and consideration of improvements to existing guidance.</w:t>
      </w:r>
    </w:p>
    <w:p w:rsidR="00E64C71" w:rsidRDefault="00E64C71">
      <w:pPr>
        <w:rPr>
          <w:rFonts w:ascii="Times New Roman" w:hAnsi="Times New Roman" w:cs="Times New Roman"/>
          <w:sz w:val="24"/>
          <w:szCs w:val="24"/>
        </w:rPr>
      </w:pPr>
      <w:r>
        <w:rPr>
          <w:rFonts w:ascii="Times New Roman" w:hAnsi="Times New Roman" w:cs="Times New Roman"/>
          <w:sz w:val="24"/>
          <w:szCs w:val="24"/>
        </w:rPr>
        <w:br w:type="page"/>
      </w:r>
    </w:p>
    <w:p w:rsidR="004A2BD0" w:rsidRPr="00E81E6D" w:rsidRDefault="004A2BD0" w:rsidP="004A2BD0">
      <w:pPr>
        <w:spacing w:after="0" w:line="240" w:lineRule="auto"/>
        <w:rPr>
          <w:rFonts w:ascii="Times New Roman" w:hAnsi="Times New Roman" w:cs="Times New Roman"/>
          <w:b/>
          <w:i/>
          <w:sz w:val="32"/>
          <w:szCs w:val="32"/>
        </w:rPr>
      </w:pPr>
      <w:r w:rsidRPr="00E81E6D">
        <w:rPr>
          <w:rFonts w:ascii="Times New Roman" w:hAnsi="Times New Roman" w:cs="Times New Roman"/>
          <w:b/>
          <w:i/>
          <w:sz w:val="32"/>
          <w:szCs w:val="32"/>
        </w:rPr>
        <w:lastRenderedPageBreak/>
        <w:t>AICPA Issues Draft Guide on Health Care Entities</w:t>
      </w:r>
    </w:p>
    <w:p w:rsidR="004A2BD0" w:rsidRPr="004A2BD0" w:rsidRDefault="004A2BD0"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AICPA has issued a working draft of its proposed Audit and Accounting Guide, </w:t>
      </w:r>
      <w:r w:rsidRPr="00E81E6D">
        <w:rPr>
          <w:rFonts w:ascii="Times New Roman" w:hAnsi="Times New Roman" w:cs="Times New Roman"/>
          <w:i/>
          <w:sz w:val="24"/>
          <w:szCs w:val="24"/>
        </w:rPr>
        <w:t>Health Care Entities,</w:t>
      </w:r>
      <w:r w:rsidRPr="004A2BD0">
        <w:rPr>
          <w:rFonts w:ascii="Times New Roman" w:hAnsi="Times New Roman" w:cs="Times New Roman"/>
          <w:sz w:val="24"/>
          <w:szCs w:val="24"/>
        </w:rPr>
        <w:t xml:space="preserve"> which was developed by the AICPA Health Care Expert Panel and the Health Care Audit and Accounting Guide Overhaul Task Force. The first comprehensive revision of the guide since 1996, the working guide provides guidance to assist management in the preparation of financial statements and to assist auditors in auditing and reporting on such financial statements.</w:t>
      </w:r>
    </w:p>
    <w:p w:rsidR="00A73358" w:rsidRPr="004A2BD0" w:rsidRDefault="00A73358" w:rsidP="004A2BD0">
      <w:pPr>
        <w:spacing w:after="0" w:line="240" w:lineRule="auto"/>
        <w:rPr>
          <w:rFonts w:ascii="Times New Roman" w:hAnsi="Times New Roman" w:cs="Times New Roman"/>
          <w:sz w:val="24"/>
          <w:szCs w:val="24"/>
        </w:rPr>
      </w:pPr>
    </w:p>
    <w:p w:rsid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working draft includes a new chapter on unique considerations of state and local governmental health care entities. This chapter was cleared by the Governmental Accounting Standards Board. Additional new information in the working draft includes expanded discussions on health care industry specific topics, including medical malpractice claims, patient receivables, and revenue recognition.</w:t>
      </w:r>
    </w:p>
    <w:p w:rsidR="00A73358" w:rsidRPr="004A2BD0" w:rsidRDefault="00A73358"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The working draft is intended to solicit comments from preparers, auditors, and users of financial statements and other interested parties to further inform the development of this guide, which will be issued once comments are received, considered, and appropriately acted upon. The working draft is available at: http://bit.ly/AICPAWorkingDraft. The comment deadline is June 6, 2011.</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32"/>
          <w:szCs w:val="32"/>
        </w:rPr>
      </w:pPr>
      <w:r w:rsidRPr="00E81E6D">
        <w:rPr>
          <w:rFonts w:ascii="Times New Roman" w:hAnsi="Times New Roman" w:cs="Times New Roman"/>
          <w:b/>
          <w:i/>
          <w:sz w:val="32"/>
          <w:szCs w:val="32"/>
        </w:rPr>
        <w:t>The GASB Report</w:t>
      </w:r>
    </w:p>
    <w:p w:rsidR="004A2BD0" w:rsidRPr="004A2BD0" w:rsidRDefault="004A2BD0" w:rsidP="004A2BD0">
      <w:pPr>
        <w:spacing w:after="0" w:line="240" w:lineRule="auto"/>
        <w:rPr>
          <w:rFonts w:ascii="Times New Roman" w:hAnsi="Times New Roman" w:cs="Times New Roman"/>
          <w:sz w:val="24"/>
          <w:szCs w:val="24"/>
        </w:rPr>
      </w:pP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The GASB welcomes feedback on </w:t>
      </w:r>
      <w:r w:rsidRPr="00E81E6D">
        <w:rPr>
          <w:rFonts w:ascii="Times New Roman" w:hAnsi="Times New Roman" w:cs="Times New Roman"/>
          <w:i/>
          <w:sz w:val="24"/>
          <w:szCs w:val="24"/>
        </w:rPr>
        <w:t>The GASB Report.</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Managing Editor: Christine L. Klimek</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E-mail: </w:t>
      </w:r>
      <w:hyperlink r:id="rId4" w:history="1">
        <w:r w:rsidRPr="004A2BD0">
          <w:rPr>
            <w:rStyle w:val="Hyperlink"/>
            <w:rFonts w:ascii="Times New Roman" w:hAnsi="Times New Roman" w:cs="Times New Roman"/>
            <w:sz w:val="24"/>
            <w:szCs w:val="24"/>
          </w:rPr>
          <w:t>clklimek@f-a-f.org</w:t>
        </w:r>
      </w:hyperlink>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Editor: Kip Betz</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E-mail: jcbetz@gasb.org</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Write: 401 Merritt 7, PO Box 5116, Norwalk, CT 06856-5116</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Telephone: (203) 847-0700</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GASB website address: www.gasb.org</w:t>
      </w:r>
    </w:p>
    <w:p w:rsidR="00E81E6D"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Subscription questions and address changes:</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Barbara Diliberto</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E-mail: bldiliberto-=-=@f-a-f.org</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Fax: (203) 847-6045</w:t>
      </w:r>
    </w:p>
    <w:p w:rsidR="00E81E6D" w:rsidRDefault="00E81E6D" w:rsidP="004A2BD0">
      <w:pPr>
        <w:spacing w:after="0" w:line="240" w:lineRule="auto"/>
        <w:rPr>
          <w:rFonts w:ascii="Times New Roman" w:hAnsi="Times New Roman" w:cs="Times New Roman"/>
          <w:sz w:val="24"/>
          <w:szCs w:val="24"/>
        </w:rPr>
      </w:pPr>
    </w:p>
    <w:p w:rsidR="004A2BD0" w:rsidRPr="00E81E6D" w:rsidRDefault="004A2BD0" w:rsidP="004A2BD0">
      <w:pPr>
        <w:spacing w:after="0" w:line="240" w:lineRule="auto"/>
        <w:rPr>
          <w:rFonts w:ascii="Times New Roman" w:hAnsi="Times New Roman" w:cs="Times New Roman"/>
          <w:b/>
          <w:i/>
          <w:sz w:val="24"/>
          <w:szCs w:val="24"/>
        </w:rPr>
      </w:pPr>
      <w:r w:rsidRPr="00E81E6D">
        <w:rPr>
          <w:rFonts w:ascii="Times New Roman" w:hAnsi="Times New Roman" w:cs="Times New Roman"/>
          <w:b/>
          <w:i/>
          <w:sz w:val="24"/>
          <w:szCs w:val="24"/>
        </w:rPr>
        <w:t>To order GASB publications:</w:t>
      </w:r>
    </w:p>
    <w:p w:rsidR="004A2BD0" w:rsidRPr="004A2BD0" w:rsidRDefault="004A2BD0" w:rsidP="004A2BD0">
      <w:pPr>
        <w:spacing w:after="0" w:line="240" w:lineRule="auto"/>
        <w:rPr>
          <w:rFonts w:ascii="Times New Roman" w:hAnsi="Times New Roman" w:cs="Times New Roman"/>
          <w:sz w:val="24"/>
          <w:szCs w:val="24"/>
        </w:rPr>
      </w:pPr>
      <w:r w:rsidRPr="004A2BD0">
        <w:rPr>
          <w:rFonts w:ascii="Times New Roman" w:hAnsi="Times New Roman" w:cs="Times New Roman"/>
          <w:sz w:val="24"/>
          <w:szCs w:val="24"/>
        </w:rPr>
        <w:t xml:space="preserve">(800) 748-0659 or </w:t>
      </w:r>
      <w:hyperlink r:id="rId5" w:history="1">
        <w:r w:rsidRPr="004A2BD0">
          <w:rPr>
            <w:rStyle w:val="Hyperlink"/>
            <w:rFonts w:ascii="Times New Roman" w:hAnsi="Times New Roman" w:cs="Times New Roman"/>
            <w:sz w:val="24"/>
            <w:szCs w:val="24"/>
          </w:rPr>
          <w:t>www.gasb.org</w:t>
        </w:r>
      </w:hyperlink>
    </w:p>
    <w:p w:rsidR="004A2BD0" w:rsidRDefault="004A2BD0" w:rsidP="004A2BD0">
      <w:pPr>
        <w:spacing w:after="0" w:line="240" w:lineRule="auto"/>
        <w:rPr>
          <w:rFonts w:ascii="Times New Roman" w:hAnsi="Times New Roman" w:cs="Times New Roman"/>
          <w:i/>
          <w:sz w:val="24"/>
          <w:szCs w:val="24"/>
        </w:rPr>
      </w:pPr>
    </w:p>
    <w:p w:rsidR="00A73358" w:rsidRPr="004A2BD0" w:rsidRDefault="00A73358" w:rsidP="004A2BD0">
      <w:pPr>
        <w:spacing w:after="0" w:line="240" w:lineRule="auto"/>
        <w:rPr>
          <w:rFonts w:ascii="Times New Roman" w:hAnsi="Times New Roman" w:cs="Times New Roman"/>
          <w:i/>
          <w:sz w:val="24"/>
          <w:szCs w:val="24"/>
        </w:rPr>
      </w:pPr>
    </w:p>
    <w:sectPr w:rsidR="00A73358" w:rsidRPr="004A2BD0" w:rsidSect="00557E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4A2BD0"/>
    <w:rsid w:val="001654C6"/>
    <w:rsid w:val="001B4B72"/>
    <w:rsid w:val="0025763F"/>
    <w:rsid w:val="004A2BD0"/>
    <w:rsid w:val="00524002"/>
    <w:rsid w:val="00557EEC"/>
    <w:rsid w:val="00667AA9"/>
    <w:rsid w:val="006B68BF"/>
    <w:rsid w:val="00733AA2"/>
    <w:rsid w:val="0082376C"/>
    <w:rsid w:val="008543C4"/>
    <w:rsid w:val="0086512A"/>
    <w:rsid w:val="009A3116"/>
    <w:rsid w:val="00A4791C"/>
    <w:rsid w:val="00A73358"/>
    <w:rsid w:val="00BA503D"/>
    <w:rsid w:val="00C25CB0"/>
    <w:rsid w:val="00CA2D3D"/>
    <w:rsid w:val="00D13019"/>
    <w:rsid w:val="00D4295A"/>
    <w:rsid w:val="00E64C71"/>
    <w:rsid w:val="00E71B0E"/>
    <w:rsid w:val="00E81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2BD0"/>
    <w:rPr>
      <w:color w:val="0000FF" w:themeColor="hyperlink"/>
      <w:u w:val="single"/>
    </w:rPr>
  </w:style>
  <w:style w:type="paragraph" w:styleId="BodyText2">
    <w:name w:val="Body Text 2"/>
    <w:basedOn w:val="Normal"/>
    <w:link w:val="BodyText2Char"/>
    <w:rsid w:val="001654C6"/>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1654C6"/>
    <w:rPr>
      <w:rFonts w:ascii="Times New Roman" w:eastAsia="Times New Roman" w:hAnsi="Times New Roman" w:cs="Times New Roman"/>
      <w:b/>
      <w:bCs/>
      <w:i/>
      <w:i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hyperlink" Target="mailto:clklimek@f-a-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6376</Words>
  <Characters>36348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The GASB Report - April 2011</vt:lpstr>
    </vt:vector>
  </TitlesOfParts>
  <Company>Deloitte</Company>
  <LinksUpToDate>false</LinksUpToDate>
  <CharactersWithSpaces>42639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 April 2011</dc:title>
  <dc:subject>Technical Plan Issue</dc:subject>
  <dc:creator>Castro, Diane</dc:creator>
  <cp:lastModifiedBy>Castro, Diane</cp:lastModifiedBy>
  <cp:revision>2</cp:revision>
  <cp:lastPrinted>2011-05-18T20:54:00Z</cp:lastPrinted>
  <dcterms:created xsi:type="dcterms:W3CDTF">2011-05-19T18:48:00Z</dcterms:created>
  <dcterms:modified xsi:type="dcterms:W3CDTF">2011-05-19T18:48:00Z</dcterms:modified>
</cp:coreProperties>
</file>