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FDA" w:rsidRPr="000A2FDA" w:rsidRDefault="000A2FDA" w:rsidP="000A2FDA">
      <w:pPr>
        <w:spacing w:beforeAutospacing="1" w:after="100" w:afterAutospacing="1" w:line="240" w:lineRule="auto"/>
        <w:jc w:val="center"/>
        <w:rPr>
          <w:rFonts w:ascii="Times New Roman" w:eastAsia="Times New Roman" w:hAnsi="Times New Roman" w:cs="Times New Roman"/>
          <w:sz w:val="24"/>
          <w:szCs w:val="24"/>
          <w:lang/>
        </w:rPr>
      </w:pPr>
      <w:r w:rsidRPr="000A2FDA">
        <w:rPr>
          <w:rFonts w:ascii="Times New Roman" w:eastAsia="Times New Roman" w:hAnsi="Times New Roman" w:cs="Times New Roman"/>
          <w:b/>
          <w:bCs/>
          <w:sz w:val="24"/>
          <w:szCs w:val="24"/>
          <w:lang/>
        </w:rPr>
        <w:t>The AICPA Boardroom</w:t>
      </w:r>
      <w:r w:rsidRPr="000A2FDA">
        <w:rPr>
          <w:rFonts w:ascii="Times New Roman" w:eastAsia="Times New Roman" w:hAnsi="Times New Roman" w:cs="Times New Roman"/>
          <w:b/>
          <w:bCs/>
          <w:sz w:val="24"/>
          <w:szCs w:val="24"/>
          <w:lang/>
        </w:rPr>
        <w:br/>
        <w:t>New York, New York</w:t>
      </w:r>
    </w:p>
    <w:p w:rsidR="000A2FDA" w:rsidRPr="000A2FDA" w:rsidRDefault="000A2FDA" w:rsidP="000A2FDA">
      <w:pPr>
        <w:spacing w:before="100" w:beforeAutospacing="1" w:after="100" w:afterAutospacing="1" w:line="240" w:lineRule="auto"/>
        <w:rPr>
          <w:rFonts w:ascii="Times New Roman" w:eastAsia="Times New Roman" w:hAnsi="Times New Roman" w:cs="Times New Roman"/>
          <w:sz w:val="24"/>
          <w:szCs w:val="24"/>
          <w:lang/>
        </w:rPr>
      </w:pPr>
      <w:proofErr w:type="spellStart"/>
      <w:r w:rsidRPr="000A2FDA">
        <w:rPr>
          <w:rFonts w:ascii="Times New Roman" w:eastAsia="Times New Roman" w:hAnsi="Times New Roman" w:cs="Times New Roman"/>
          <w:b/>
          <w:bCs/>
          <w:sz w:val="24"/>
          <w:szCs w:val="24"/>
          <w:lang/>
        </w:rPr>
        <w:t>AcSEC</w:t>
      </w:r>
      <w:proofErr w:type="spellEnd"/>
      <w:r w:rsidRPr="000A2FDA">
        <w:rPr>
          <w:rFonts w:ascii="Times New Roman" w:eastAsia="Times New Roman" w:hAnsi="Times New Roman" w:cs="Times New Roman"/>
          <w:b/>
          <w:bCs/>
          <w:sz w:val="24"/>
          <w:szCs w:val="24"/>
          <w:lang/>
        </w:rPr>
        <w:t xml:space="preserve"> Meeting Highlights</w:t>
      </w:r>
    </w:p>
    <w:p w:rsidR="000A2FDA" w:rsidRPr="000A2FDA" w:rsidRDefault="000A2FDA" w:rsidP="000A2FDA">
      <w:pPr>
        <w:spacing w:before="100" w:beforeAutospacing="1" w:after="100" w:afterAutospacing="1" w:line="240" w:lineRule="auto"/>
        <w:rPr>
          <w:rFonts w:ascii="Times New Roman" w:eastAsia="Times New Roman" w:hAnsi="Times New Roman" w:cs="Times New Roman"/>
          <w:sz w:val="24"/>
          <w:szCs w:val="24"/>
          <w:lang/>
        </w:rPr>
      </w:pPr>
      <w:r w:rsidRPr="000A2FDA">
        <w:rPr>
          <w:rFonts w:ascii="Times New Roman" w:eastAsia="Times New Roman" w:hAnsi="Times New Roman" w:cs="Times New Roman"/>
          <w:sz w:val="24"/>
          <w:szCs w:val="24"/>
          <w:lang/>
        </w:rPr>
        <w:t xml:space="preserve">All </w:t>
      </w:r>
      <w:proofErr w:type="spellStart"/>
      <w:r w:rsidRPr="000A2FDA">
        <w:rPr>
          <w:rFonts w:ascii="Times New Roman" w:eastAsia="Times New Roman" w:hAnsi="Times New Roman" w:cs="Times New Roman"/>
          <w:sz w:val="24"/>
          <w:szCs w:val="24"/>
          <w:lang/>
        </w:rPr>
        <w:t>AcSEC</w:t>
      </w:r>
      <w:proofErr w:type="spellEnd"/>
      <w:r w:rsidRPr="000A2FDA">
        <w:rPr>
          <w:rFonts w:ascii="Times New Roman" w:eastAsia="Times New Roman" w:hAnsi="Times New Roman" w:cs="Times New Roman"/>
          <w:sz w:val="24"/>
          <w:szCs w:val="24"/>
          <w:lang/>
        </w:rPr>
        <w:t xml:space="preserve"> members were in attendance except Paula </w:t>
      </w:r>
      <w:proofErr w:type="spellStart"/>
      <w:r w:rsidRPr="000A2FDA">
        <w:rPr>
          <w:rFonts w:ascii="Times New Roman" w:eastAsia="Times New Roman" w:hAnsi="Times New Roman" w:cs="Times New Roman"/>
          <w:sz w:val="24"/>
          <w:szCs w:val="24"/>
          <w:lang/>
        </w:rPr>
        <w:t>Panik</w:t>
      </w:r>
      <w:proofErr w:type="spellEnd"/>
      <w:r w:rsidRPr="000A2FDA">
        <w:rPr>
          <w:rFonts w:ascii="Times New Roman" w:eastAsia="Times New Roman" w:hAnsi="Times New Roman" w:cs="Times New Roman"/>
          <w:sz w:val="24"/>
          <w:szCs w:val="24"/>
          <w:lang/>
        </w:rPr>
        <w:t xml:space="preserve">. </w:t>
      </w:r>
    </w:p>
    <w:p w:rsidR="000A2FDA" w:rsidRPr="000A2FDA" w:rsidRDefault="000A2FDA" w:rsidP="000A2FDA">
      <w:pPr>
        <w:spacing w:before="100" w:beforeAutospacing="1" w:after="100" w:afterAutospacing="1" w:line="240" w:lineRule="auto"/>
        <w:rPr>
          <w:rFonts w:ascii="Times New Roman" w:eastAsia="Times New Roman" w:hAnsi="Times New Roman" w:cs="Times New Roman"/>
          <w:sz w:val="24"/>
          <w:szCs w:val="24"/>
          <w:lang/>
        </w:rPr>
      </w:pPr>
      <w:r w:rsidRPr="000A2FDA">
        <w:rPr>
          <w:rFonts w:ascii="Times New Roman" w:eastAsia="Times New Roman" w:hAnsi="Times New Roman" w:cs="Times New Roman"/>
          <w:sz w:val="24"/>
          <w:szCs w:val="24"/>
          <w:lang/>
        </w:rPr>
        <w:t>Other participants in the meeting were</w:t>
      </w:r>
      <w:proofErr w:type="gramStart"/>
      <w:r w:rsidRPr="000A2FDA">
        <w:rPr>
          <w:rFonts w:ascii="Times New Roman" w:eastAsia="Times New Roman" w:hAnsi="Times New Roman" w:cs="Times New Roman"/>
          <w:sz w:val="24"/>
          <w:szCs w:val="24"/>
          <w:lang/>
        </w:rPr>
        <w:t>:</w:t>
      </w:r>
      <w:proofErr w:type="gramEnd"/>
      <w:r w:rsidRPr="000A2FDA">
        <w:rPr>
          <w:rFonts w:ascii="Times New Roman" w:eastAsia="Times New Roman" w:hAnsi="Times New Roman" w:cs="Times New Roman"/>
          <w:sz w:val="24"/>
          <w:szCs w:val="24"/>
          <w:lang/>
        </w:rPr>
        <w:br/>
        <w:t>Deborah Whitmore, Dan Gifford, John Morris-DAC on Internal Replacements</w:t>
      </w:r>
      <w:r w:rsidRPr="000A2FDA">
        <w:rPr>
          <w:rFonts w:ascii="Times New Roman" w:eastAsia="Times New Roman" w:hAnsi="Times New Roman" w:cs="Times New Roman"/>
          <w:sz w:val="24"/>
          <w:szCs w:val="24"/>
          <w:lang/>
        </w:rPr>
        <w:br/>
        <w:t>Martha Garner- Accounting for Derivative Instruments and Hedging Activities by Not-for-Profit Health Care Organizations</w:t>
      </w:r>
    </w:p>
    <w:p w:rsidR="000A2FDA" w:rsidRPr="000A2FDA" w:rsidRDefault="000A2FDA" w:rsidP="000A2FDA">
      <w:pPr>
        <w:spacing w:before="100" w:beforeAutospacing="1" w:after="100" w:afterAutospacing="1" w:line="240" w:lineRule="auto"/>
        <w:rPr>
          <w:rFonts w:ascii="Times New Roman" w:eastAsia="Times New Roman" w:hAnsi="Times New Roman" w:cs="Times New Roman"/>
          <w:sz w:val="24"/>
          <w:szCs w:val="24"/>
          <w:lang/>
        </w:rPr>
      </w:pPr>
      <w:r w:rsidRPr="000A2FDA">
        <w:rPr>
          <w:rFonts w:ascii="Times New Roman" w:eastAsia="Times New Roman" w:hAnsi="Times New Roman" w:cs="Times New Roman"/>
          <w:sz w:val="24"/>
          <w:szCs w:val="24"/>
          <w:lang/>
        </w:rPr>
        <w:t xml:space="preserve">AICPA staff: Dan Noll, Kim </w:t>
      </w:r>
      <w:proofErr w:type="spellStart"/>
      <w:r w:rsidRPr="000A2FDA">
        <w:rPr>
          <w:rFonts w:ascii="Times New Roman" w:eastAsia="Times New Roman" w:hAnsi="Times New Roman" w:cs="Times New Roman"/>
          <w:sz w:val="24"/>
          <w:szCs w:val="24"/>
          <w:lang/>
        </w:rPr>
        <w:t>Hekker</w:t>
      </w:r>
      <w:proofErr w:type="spellEnd"/>
      <w:r w:rsidRPr="000A2FDA">
        <w:rPr>
          <w:rFonts w:ascii="Times New Roman" w:eastAsia="Times New Roman" w:hAnsi="Times New Roman" w:cs="Times New Roman"/>
          <w:sz w:val="24"/>
          <w:szCs w:val="24"/>
          <w:lang/>
        </w:rPr>
        <w:t>, Annette Schumacher (via conference call</w:t>
      </w:r>
      <w:proofErr w:type="gramStart"/>
      <w:r w:rsidRPr="000A2FDA">
        <w:rPr>
          <w:rFonts w:ascii="Times New Roman" w:eastAsia="Times New Roman" w:hAnsi="Times New Roman" w:cs="Times New Roman"/>
          <w:sz w:val="24"/>
          <w:szCs w:val="24"/>
          <w:lang/>
        </w:rPr>
        <w:t>)</w:t>
      </w:r>
      <w:proofErr w:type="gramEnd"/>
      <w:r w:rsidRPr="000A2FDA">
        <w:rPr>
          <w:rFonts w:ascii="Times New Roman" w:eastAsia="Times New Roman" w:hAnsi="Times New Roman" w:cs="Times New Roman"/>
          <w:sz w:val="24"/>
          <w:szCs w:val="24"/>
          <w:lang/>
        </w:rPr>
        <w:br/>
        <w:t xml:space="preserve">FASB Staff: Jules Cassel, Jeff </w:t>
      </w:r>
      <w:proofErr w:type="spellStart"/>
      <w:r w:rsidRPr="000A2FDA">
        <w:rPr>
          <w:rFonts w:ascii="Times New Roman" w:eastAsia="Times New Roman" w:hAnsi="Times New Roman" w:cs="Times New Roman"/>
          <w:sz w:val="24"/>
          <w:szCs w:val="24"/>
          <w:lang/>
        </w:rPr>
        <w:t>Cropsey</w:t>
      </w:r>
      <w:proofErr w:type="spellEnd"/>
      <w:r w:rsidRPr="000A2FDA">
        <w:rPr>
          <w:rFonts w:ascii="Times New Roman" w:eastAsia="Times New Roman" w:hAnsi="Times New Roman" w:cs="Times New Roman"/>
          <w:sz w:val="24"/>
          <w:szCs w:val="24"/>
          <w:lang/>
        </w:rPr>
        <w:t>, Bob Wilkins</w:t>
      </w:r>
    </w:p>
    <w:p w:rsidR="000A2FDA" w:rsidRPr="000A2FDA" w:rsidRDefault="000A2FDA" w:rsidP="000A2FDA">
      <w:pPr>
        <w:spacing w:before="100" w:beforeAutospacing="1" w:after="100" w:afterAutospacing="1" w:line="240" w:lineRule="auto"/>
        <w:rPr>
          <w:rFonts w:ascii="Times New Roman" w:eastAsia="Times New Roman" w:hAnsi="Times New Roman" w:cs="Times New Roman"/>
          <w:sz w:val="24"/>
          <w:szCs w:val="24"/>
          <w:lang/>
        </w:rPr>
      </w:pPr>
      <w:r w:rsidRPr="000A2FDA">
        <w:rPr>
          <w:rFonts w:ascii="Times New Roman" w:eastAsia="Times New Roman" w:hAnsi="Times New Roman" w:cs="Times New Roman"/>
          <w:b/>
          <w:bCs/>
          <w:sz w:val="24"/>
          <w:szCs w:val="24"/>
          <w:lang/>
        </w:rPr>
        <w:t>Accounting for Derivative Instruments and Hedging Activities by Not-for-Profit Health Care Organizations</w:t>
      </w:r>
    </w:p>
    <w:p w:rsidR="000A2FDA" w:rsidRPr="000A2FDA" w:rsidRDefault="000A2FDA" w:rsidP="000A2FDA">
      <w:pPr>
        <w:spacing w:before="100" w:beforeAutospacing="1" w:after="100" w:afterAutospacing="1" w:line="240" w:lineRule="auto"/>
        <w:rPr>
          <w:rFonts w:ascii="Times New Roman" w:eastAsia="Times New Roman" w:hAnsi="Times New Roman" w:cs="Times New Roman"/>
          <w:sz w:val="24"/>
          <w:szCs w:val="24"/>
          <w:lang/>
        </w:rPr>
      </w:pPr>
      <w:proofErr w:type="spellStart"/>
      <w:r w:rsidRPr="000A2FDA">
        <w:rPr>
          <w:rFonts w:ascii="Times New Roman" w:eastAsia="Times New Roman" w:hAnsi="Times New Roman" w:cs="Times New Roman"/>
          <w:sz w:val="24"/>
          <w:szCs w:val="24"/>
          <w:lang/>
        </w:rPr>
        <w:t>AcSEC</w:t>
      </w:r>
      <w:proofErr w:type="spellEnd"/>
      <w:r w:rsidRPr="000A2FDA">
        <w:rPr>
          <w:rFonts w:ascii="Times New Roman" w:eastAsia="Times New Roman" w:hAnsi="Times New Roman" w:cs="Times New Roman"/>
          <w:sz w:val="24"/>
          <w:szCs w:val="24"/>
          <w:lang/>
        </w:rPr>
        <w:t xml:space="preserve"> discussed a draft of a proposed exposure draft (ED) SOP, the purpose of which is to provide guidance on how not-for-profit health care organizations should report gains or losses on hedging and </w:t>
      </w:r>
      <w:proofErr w:type="spellStart"/>
      <w:r w:rsidRPr="000A2FDA">
        <w:rPr>
          <w:rFonts w:ascii="Times New Roman" w:eastAsia="Times New Roman" w:hAnsi="Times New Roman" w:cs="Times New Roman"/>
          <w:sz w:val="24"/>
          <w:szCs w:val="24"/>
          <w:lang/>
        </w:rPr>
        <w:t>nonhedging</w:t>
      </w:r>
      <w:proofErr w:type="spellEnd"/>
      <w:r w:rsidRPr="000A2FDA">
        <w:rPr>
          <w:rFonts w:ascii="Times New Roman" w:eastAsia="Times New Roman" w:hAnsi="Times New Roman" w:cs="Times New Roman"/>
          <w:sz w:val="24"/>
          <w:szCs w:val="24"/>
          <w:lang/>
        </w:rPr>
        <w:t xml:space="preserve"> derivative instruments under FASB Statement No. 133, and to clarify certain matters related to the performance indicator (earnings measure) reported by those organizations. Both the project prospectus and the ED are subject to FASB clearance. The following summarizes the discussion:</w:t>
      </w:r>
    </w:p>
    <w:p w:rsidR="000A2FDA" w:rsidRPr="000A2FDA" w:rsidRDefault="000A2FDA" w:rsidP="000A2FDA">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rPr>
      </w:pPr>
      <w:proofErr w:type="spellStart"/>
      <w:r w:rsidRPr="000A2FDA">
        <w:rPr>
          <w:rFonts w:ascii="Times New Roman" w:eastAsia="Times New Roman" w:hAnsi="Times New Roman" w:cs="Times New Roman"/>
          <w:sz w:val="24"/>
          <w:szCs w:val="24"/>
          <w:lang/>
        </w:rPr>
        <w:t>AcSEC</w:t>
      </w:r>
      <w:proofErr w:type="spellEnd"/>
      <w:r w:rsidRPr="000A2FDA">
        <w:rPr>
          <w:rFonts w:ascii="Times New Roman" w:eastAsia="Times New Roman" w:hAnsi="Times New Roman" w:cs="Times New Roman"/>
          <w:sz w:val="24"/>
          <w:szCs w:val="24"/>
          <w:lang/>
        </w:rPr>
        <w:t xml:space="preserve"> decided that not-for-profit health care organizations should apply FASB Statement No. 133 similar to how for-profit entities apply that Statement. </w:t>
      </w:r>
    </w:p>
    <w:p w:rsidR="000A2FDA" w:rsidRPr="000A2FDA" w:rsidRDefault="000A2FDA" w:rsidP="000A2FDA">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rPr>
      </w:pPr>
      <w:proofErr w:type="spellStart"/>
      <w:r w:rsidRPr="000A2FDA">
        <w:rPr>
          <w:rFonts w:ascii="Times New Roman" w:eastAsia="Times New Roman" w:hAnsi="Times New Roman" w:cs="Times New Roman"/>
          <w:sz w:val="24"/>
          <w:szCs w:val="24"/>
          <w:lang/>
        </w:rPr>
        <w:t>AcSEC</w:t>
      </w:r>
      <w:proofErr w:type="spellEnd"/>
      <w:r w:rsidRPr="000A2FDA">
        <w:rPr>
          <w:rFonts w:ascii="Times New Roman" w:eastAsia="Times New Roman" w:hAnsi="Times New Roman" w:cs="Times New Roman"/>
          <w:sz w:val="24"/>
          <w:szCs w:val="24"/>
          <w:lang/>
        </w:rPr>
        <w:t xml:space="preserve"> discussed the use of performance indicators by other not-for-profit organizations and whether this project should be expanded to all not-for-profits. </w:t>
      </w:r>
      <w:proofErr w:type="spellStart"/>
      <w:r w:rsidRPr="000A2FDA">
        <w:rPr>
          <w:rFonts w:ascii="Times New Roman" w:eastAsia="Times New Roman" w:hAnsi="Times New Roman" w:cs="Times New Roman"/>
          <w:sz w:val="24"/>
          <w:szCs w:val="24"/>
          <w:lang/>
        </w:rPr>
        <w:t>AcSEC</w:t>
      </w:r>
      <w:proofErr w:type="spellEnd"/>
      <w:r w:rsidRPr="000A2FDA">
        <w:rPr>
          <w:rFonts w:ascii="Times New Roman" w:eastAsia="Times New Roman" w:hAnsi="Times New Roman" w:cs="Times New Roman"/>
          <w:sz w:val="24"/>
          <w:szCs w:val="24"/>
          <w:lang/>
        </w:rPr>
        <w:t xml:space="preserve"> decided that this SOP should focus only on not-for-profit health care organizations. </w:t>
      </w:r>
    </w:p>
    <w:p w:rsidR="000A2FDA" w:rsidRPr="000A2FDA" w:rsidRDefault="000A2FDA" w:rsidP="000A2FDA">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rPr>
      </w:pPr>
      <w:proofErr w:type="spellStart"/>
      <w:r w:rsidRPr="000A2FDA">
        <w:rPr>
          <w:rFonts w:ascii="Times New Roman" w:eastAsia="Times New Roman" w:hAnsi="Times New Roman" w:cs="Times New Roman"/>
          <w:sz w:val="24"/>
          <w:szCs w:val="24"/>
          <w:lang/>
        </w:rPr>
        <w:t>AcSEC</w:t>
      </w:r>
      <w:proofErr w:type="spellEnd"/>
      <w:r w:rsidRPr="000A2FDA">
        <w:rPr>
          <w:rFonts w:ascii="Times New Roman" w:eastAsia="Times New Roman" w:hAnsi="Times New Roman" w:cs="Times New Roman"/>
          <w:sz w:val="24"/>
          <w:szCs w:val="24"/>
          <w:lang/>
        </w:rPr>
        <w:t xml:space="preserve"> decided that the SOP should state that the performance indicator of a not-for-profit health care organization is the functional equivalent of "income from continuing operations" of a for-profit entity. </w:t>
      </w:r>
    </w:p>
    <w:p w:rsidR="000A2FDA" w:rsidRPr="000A2FDA" w:rsidRDefault="000A2FDA" w:rsidP="000A2FDA">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rPr>
      </w:pPr>
      <w:proofErr w:type="spellStart"/>
      <w:r w:rsidRPr="000A2FDA">
        <w:rPr>
          <w:rFonts w:ascii="Times New Roman" w:eastAsia="Times New Roman" w:hAnsi="Times New Roman" w:cs="Times New Roman"/>
          <w:sz w:val="24"/>
          <w:szCs w:val="24"/>
          <w:lang/>
        </w:rPr>
        <w:t>AcSEC</w:t>
      </w:r>
      <w:proofErr w:type="spellEnd"/>
      <w:r w:rsidRPr="000A2FDA">
        <w:rPr>
          <w:rFonts w:ascii="Times New Roman" w:eastAsia="Times New Roman" w:hAnsi="Times New Roman" w:cs="Times New Roman"/>
          <w:sz w:val="24"/>
          <w:szCs w:val="24"/>
          <w:lang/>
        </w:rPr>
        <w:t xml:space="preserve"> recommended that an illustration be prepared and included in the draft SOP. </w:t>
      </w:r>
    </w:p>
    <w:p w:rsidR="000A2FDA" w:rsidRPr="000A2FDA" w:rsidRDefault="000A2FDA" w:rsidP="000A2FDA">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rPr>
      </w:pPr>
      <w:proofErr w:type="spellStart"/>
      <w:r w:rsidRPr="000A2FDA">
        <w:rPr>
          <w:rFonts w:ascii="Times New Roman" w:eastAsia="Times New Roman" w:hAnsi="Times New Roman" w:cs="Times New Roman"/>
          <w:sz w:val="24"/>
          <w:szCs w:val="24"/>
          <w:lang/>
        </w:rPr>
        <w:t>AcSEC</w:t>
      </w:r>
      <w:proofErr w:type="spellEnd"/>
      <w:r w:rsidRPr="000A2FDA">
        <w:rPr>
          <w:rFonts w:ascii="Times New Roman" w:eastAsia="Times New Roman" w:hAnsi="Times New Roman" w:cs="Times New Roman"/>
          <w:sz w:val="24"/>
          <w:szCs w:val="24"/>
          <w:lang/>
        </w:rPr>
        <w:t xml:space="preserve"> considered the transition provisions in the draft SOP and concluded that the SOP should not require reclassification or restatement of prior periods. </w:t>
      </w:r>
      <w:proofErr w:type="spellStart"/>
      <w:r w:rsidRPr="000A2FDA">
        <w:rPr>
          <w:rFonts w:ascii="Times New Roman" w:eastAsia="Times New Roman" w:hAnsi="Times New Roman" w:cs="Times New Roman"/>
          <w:sz w:val="24"/>
          <w:szCs w:val="24"/>
          <w:lang/>
        </w:rPr>
        <w:t>AcSEC</w:t>
      </w:r>
      <w:proofErr w:type="spellEnd"/>
      <w:r w:rsidRPr="000A2FDA">
        <w:rPr>
          <w:rFonts w:ascii="Times New Roman" w:eastAsia="Times New Roman" w:hAnsi="Times New Roman" w:cs="Times New Roman"/>
          <w:sz w:val="24"/>
          <w:szCs w:val="24"/>
          <w:lang/>
        </w:rPr>
        <w:t xml:space="preserve"> also considered whether reclassification or restatement should be allowed and, if so, whether it should be encouraged. </w:t>
      </w:r>
      <w:proofErr w:type="spellStart"/>
      <w:r w:rsidRPr="000A2FDA">
        <w:rPr>
          <w:rFonts w:ascii="Times New Roman" w:eastAsia="Times New Roman" w:hAnsi="Times New Roman" w:cs="Times New Roman"/>
          <w:sz w:val="24"/>
          <w:szCs w:val="24"/>
          <w:lang/>
        </w:rPr>
        <w:t>AcSEC</w:t>
      </w:r>
      <w:proofErr w:type="spellEnd"/>
      <w:r w:rsidRPr="000A2FDA">
        <w:rPr>
          <w:rFonts w:ascii="Times New Roman" w:eastAsia="Times New Roman" w:hAnsi="Times New Roman" w:cs="Times New Roman"/>
          <w:sz w:val="24"/>
          <w:szCs w:val="24"/>
          <w:lang/>
        </w:rPr>
        <w:t xml:space="preserve"> also raised the concept of requiring a cumulative effect adjustment. </w:t>
      </w:r>
      <w:proofErr w:type="spellStart"/>
      <w:r w:rsidRPr="000A2FDA">
        <w:rPr>
          <w:rFonts w:ascii="Times New Roman" w:eastAsia="Times New Roman" w:hAnsi="Times New Roman" w:cs="Times New Roman"/>
          <w:sz w:val="24"/>
          <w:szCs w:val="24"/>
          <w:lang/>
        </w:rPr>
        <w:t>AcSEC</w:t>
      </w:r>
      <w:proofErr w:type="spellEnd"/>
      <w:r w:rsidRPr="000A2FDA">
        <w:rPr>
          <w:rFonts w:ascii="Times New Roman" w:eastAsia="Times New Roman" w:hAnsi="Times New Roman" w:cs="Times New Roman"/>
          <w:sz w:val="24"/>
          <w:szCs w:val="24"/>
          <w:lang/>
        </w:rPr>
        <w:t xml:space="preserve"> did not complete its deliberations and decided to resume discussion at its March meeting. </w:t>
      </w:r>
    </w:p>
    <w:p w:rsidR="000A2FDA" w:rsidRPr="000A2FDA" w:rsidRDefault="000A2FDA" w:rsidP="000A2FDA">
      <w:pPr>
        <w:spacing w:before="100" w:beforeAutospacing="1" w:after="100" w:afterAutospacing="1" w:line="240" w:lineRule="auto"/>
        <w:rPr>
          <w:rFonts w:ascii="Times New Roman" w:eastAsia="Times New Roman" w:hAnsi="Times New Roman" w:cs="Times New Roman"/>
          <w:sz w:val="24"/>
          <w:szCs w:val="24"/>
          <w:lang/>
        </w:rPr>
      </w:pPr>
      <w:r w:rsidRPr="000A2FDA">
        <w:rPr>
          <w:rFonts w:ascii="Times New Roman" w:eastAsia="Times New Roman" w:hAnsi="Times New Roman" w:cs="Times New Roman"/>
          <w:b/>
          <w:bCs/>
          <w:sz w:val="24"/>
          <w:szCs w:val="24"/>
          <w:lang/>
        </w:rPr>
        <w:t xml:space="preserve">DAC on Internal Replacements </w:t>
      </w:r>
    </w:p>
    <w:p w:rsidR="000A2FDA" w:rsidRPr="000A2FDA" w:rsidRDefault="000A2FDA" w:rsidP="000A2FDA">
      <w:pPr>
        <w:spacing w:before="100" w:beforeAutospacing="1" w:after="100" w:afterAutospacing="1" w:line="240" w:lineRule="auto"/>
        <w:rPr>
          <w:rFonts w:ascii="Times New Roman" w:eastAsia="Times New Roman" w:hAnsi="Times New Roman" w:cs="Times New Roman"/>
          <w:sz w:val="24"/>
          <w:szCs w:val="24"/>
          <w:lang/>
        </w:rPr>
      </w:pPr>
      <w:proofErr w:type="spellStart"/>
      <w:r w:rsidRPr="000A2FDA">
        <w:rPr>
          <w:rFonts w:ascii="Times New Roman" w:eastAsia="Times New Roman" w:hAnsi="Times New Roman" w:cs="Times New Roman"/>
          <w:sz w:val="24"/>
          <w:szCs w:val="24"/>
          <w:lang/>
        </w:rPr>
        <w:lastRenderedPageBreak/>
        <w:t>AcSEC</w:t>
      </w:r>
      <w:proofErr w:type="spellEnd"/>
      <w:r w:rsidRPr="000A2FDA">
        <w:rPr>
          <w:rFonts w:ascii="Times New Roman" w:eastAsia="Times New Roman" w:hAnsi="Times New Roman" w:cs="Times New Roman"/>
          <w:sz w:val="24"/>
          <w:szCs w:val="24"/>
          <w:lang/>
        </w:rPr>
        <w:t xml:space="preserve"> heard preliminary task force views on various issues and began discussions related to what will become an ED SOP. Issues include:</w:t>
      </w:r>
    </w:p>
    <w:p w:rsidR="000A2FDA" w:rsidRPr="000A2FDA" w:rsidRDefault="000A2FDA" w:rsidP="000A2FDA">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rPr>
      </w:pPr>
      <w:r w:rsidRPr="000A2FDA">
        <w:rPr>
          <w:rFonts w:ascii="Times New Roman" w:eastAsia="Times New Roman" w:hAnsi="Times New Roman" w:cs="Times New Roman"/>
          <w:sz w:val="24"/>
          <w:szCs w:val="24"/>
          <w:lang/>
        </w:rPr>
        <w:t xml:space="preserve">What transactions should be considered internal replacements - the task force proposed that transactions that would be defined as policy enhancements or that were made in accordance with existing contract provisions should not be covered by the project. </w:t>
      </w:r>
    </w:p>
    <w:p w:rsidR="000A2FDA" w:rsidRPr="000A2FDA" w:rsidRDefault="000A2FDA" w:rsidP="000A2FDA">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rPr>
      </w:pPr>
      <w:r w:rsidRPr="000A2FDA">
        <w:rPr>
          <w:rFonts w:ascii="Times New Roman" w:eastAsia="Times New Roman" w:hAnsi="Times New Roman" w:cs="Times New Roman"/>
          <w:sz w:val="24"/>
          <w:szCs w:val="24"/>
          <w:lang/>
        </w:rPr>
        <w:t xml:space="preserve">How to determine if an internal replacement is substantially different - the task force proposed that qualitative and quantitative analysis should be considered to determine whether an internal replacement is substantially different from the original contract. The task force is still considering different components of the quantitative computation. </w:t>
      </w:r>
    </w:p>
    <w:p w:rsidR="000A2FDA" w:rsidRPr="000A2FDA" w:rsidRDefault="000A2FDA" w:rsidP="000A2FDA">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rPr>
      </w:pPr>
      <w:r w:rsidRPr="000A2FDA">
        <w:rPr>
          <w:rFonts w:ascii="Times New Roman" w:eastAsia="Times New Roman" w:hAnsi="Times New Roman" w:cs="Times New Roman"/>
          <w:sz w:val="24"/>
          <w:szCs w:val="24"/>
          <w:lang/>
        </w:rPr>
        <w:t xml:space="preserve">How to account for internal replacements - the task force proposed that internal replacements that are deemed (a) substantially different should be accounted for as an extinguishment of the original contract and treated as a lapse or surrender and (b) to be not substantially different should be considered a continuation of the original contract (unamortized deferred acquisition costs associated with the original contract should continue to be deferred in connection with the replacement contract). The task force is still considering different approaches for how to account for deferred acquisition costs that continue to be deferred. </w:t>
      </w:r>
    </w:p>
    <w:p w:rsidR="000A2FDA" w:rsidRPr="000A2FDA" w:rsidRDefault="000A2FDA" w:rsidP="000A2FDA">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rPr>
      </w:pPr>
      <w:r w:rsidRPr="000A2FDA">
        <w:rPr>
          <w:rFonts w:ascii="Times New Roman" w:eastAsia="Times New Roman" w:hAnsi="Times New Roman" w:cs="Times New Roman"/>
          <w:sz w:val="24"/>
          <w:szCs w:val="24"/>
          <w:lang/>
        </w:rPr>
        <w:t xml:space="preserve">The task force also recommended that the guidance in FASB Statement No. 60 relating to eligibility of costs to be deferred should be applied in determining if any new costs incurred in connection with an internal replacement (that is not substantially different) should be deferred as costs associated with renewals. </w:t>
      </w:r>
    </w:p>
    <w:p w:rsidR="000A2FDA" w:rsidRPr="000A2FDA" w:rsidRDefault="000A2FDA" w:rsidP="000A2FDA">
      <w:pPr>
        <w:spacing w:before="100" w:beforeAutospacing="1" w:after="100" w:afterAutospacing="1" w:line="240" w:lineRule="auto"/>
        <w:rPr>
          <w:rFonts w:ascii="Times New Roman" w:eastAsia="Times New Roman" w:hAnsi="Times New Roman" w:cs="Times New Roman"/>
          <w:sz w:val="24"/>
          <w:szCs w:val="24"/>
          <w:lang/>
        </w:rPr>
      </w:pPr>
      <w:proofErr w:type="spellStart"/>
      <w:r w:rsidRPr="000A2FDA">
        <w:rPr>
          <w:rFonts w:ascii="Times New Roman" w:eastAsia="Times New Roman" w:hAnsi="Times New Roman" w:cs="Times New Roman"/>
          <w:sz w:val="24"/>
          <w:szCs w:val="24"/>
          <w:lang/>
        </w:rPr>
        <w:t>AcSEC</w:t>
      </w:r>
      <w:proofErr w:type="spellEnd"/>
      <w:r w:rsidRPr="000A2FDA">
        <w:rPr>
          <w:rFonts w:ascii="Times New Roman" w:eastAsia="Times New Roman" w:hAnsi="Times New Roman" w:cs="Times New Roman"/>
          <w:sz w:val="24"/>
          <w:szCs w:val="24"/>
          <w:lang/>
        </w:rPr>
        <w:t xml:space="preserve"> will continue discussion at its March and/or April meetings.</w:t>
      </w:r>
    </w:p>
    <w:p w:rsidR="000A2FDA" w:rsidRPr="000A2FDA" w:rsidRDefault="000A2FDA" w:rsidP="000A2FDA">
      <w:pPr>
        <w:spacing w:before="100" w:beforeAutospacing="1" w:after="100" w:afterAutospacing="1" w:line="240" w:lineRule="auto"/>
        <w:rPr>
          <w:rFonts w:ascii="Times New Roman" w:eastAsia="Times New Roman" w:hAnsi="Times New Roman" w:cs="Times New Roman"/>
          <w:sz w:val="24"/>
          <w:szCs w:val="24"/>
          <w:lang/>
        </w:rPr>
      </w:pPr>
      <w:r w:rsidRPr="000A2FDA">
        <w:rPr>
          <w:rFonts w:ascii="Times New Roman" w:eastAsia="Times New Roman" w:hAnsi="Times New Roman" w:cs="Times New Roman"/>
          <w:b/>
          <w:bCs/>
          <w:sz w:val="24"/>
          <w:szCs w:val="24"/>
          <w:lang/>
        </w:rPr>
        <w:t>Chair's Report</w:t>
      </w:r>
    </w:p>
    <w:p w:rsidR="000A2FDA" w:rsidRPr="000A2FDA" w:rsidRDefault="000A2FDA" w:rsidP="000A2FDA">
      <w:pPr>
        <w:spacing w:before="100" w:beforeAutospacing="1" w:after="100" w:afterAutospacing="1" w:line="240" w:lineRule="auto"/>
        <w:rPr>
          <w:rFonts w:ascii="Times New Roman" w:eastAsia="Times New Roman" w:hAnsi="Times New Roman" w:cs="Times New Roman"/>
          <w:sz w:val="24"/>
          <w:szCs w:val="24"/>
          <w:lang/>
        </w:rPr>
      </w:pPr>
      <w:r w:rsidRPr="000A2FDA">
        <w:rPr>
          <w:rFonts w:ascii="Times New Roman" w:eastAsia="Times New Roman" w:hAnsi="Times New Roman" w:cs="Times New Roman"/>
          <w:sz w:val="24"/>
          <w:szCs w:val="24"/>
          <w:lang/>
        </w:rPr>
        <w:t>The Chair reported the following:</w:t>
      </w:r>
    </w:p>
    <w:p w:rsidR="000A2FDA" w:rsidRPr="000A2FDA" w:rsidRDefault="000A2FDA" w:rsidP="000A2FDA">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rPr>
      </w:pPr>
      <w:r w:rsidRPr="000A2FDA">
        <w:rPr>
          <w:rFonts w:ascii="Times New Roman" w:eastAsia="Times New Roman" w:hAnsi="Times New Roman" w:cs="Times New Roman"/>
          <w:sz w:val="24"/>
          <w:szCs w:val="24"/>
          <w:lang/>
        </w:rPr>
        <w:t xml:space="preserve">The AICPA staff released TPAs related to (1) private (non-registered) investment companies and (2) Heath Insurance Portability and Accountability Act costs. The TPAs are located at </w:t>
      </w:r>
      <w:hyperlink r:id="rId5" w:history="1">
        <w:r w:rsidRPr="000A2FDA">
          <w:rPr>
            <w:rFonts w:ascii="Times New Roman" w:eastAsia="Times New Roman" w:hAnsi="Times New Roman" w:cs="Times New Roman"/>
            <w:color w:val="0000FF"/>
            <w:sz w:val="24"/>
            <w:szCs w:val="24"/>
            <w:u w:val="single"/>
            <w:lang/>
          </w:rPr>
          <w:t>http://www.aicpa.org/members/div/acctstd/general/othitem.htm</w:t>
        </w:r>
      </w:hyperlink>
      <w:r w:rsidRPr="000A2FDA">
        <w:rPr>
          <w:rFonts w:ascii="Times New Roman" w:eastAsia="Times New Roman" w:hAnsi="Times New Roman" w:cs="Times New Roman"/>
          <w:sz w:val="24"/>
          <w:szCs w:val="24"/>
          <w:lang/>
        </w:rPr>
        <w:t xml:space="preserve">. </w:t>
      </w:r>
    </w:p>
    <w:p w:rsidR="000A2FDA" w:rsidRPr="000A2FDA" w:rsidRDefault="000A2FDA" w:rsidP="000A2FDA">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rPr>
      </w:pPr>
      <w:proofErr w:type="spellStart"/>
      <w:r w:rsidRPr="000A2FDA">
        <w:rPr>
          <w:rFonts w:ascii="Times New Roman" w:eastAsia="Times New Roman" w:hAnsi="Times New Roman" w:cs="Times New Roman"/>
          <w:sz w:val="24"/>
          <w:szCs w:val="24"/>
          <w:lang/>
        </w:rPr>
        <w:t>AcSEC</w:t>
      </w:r>
      <w:proofErr w:type="spellEnd"/>
      <w:r w:rsidRPr="000A2FDA">
        <w:rPr>
          <w:rFonts w:ascii="Times New Roman" w:eastAsia="Times New Roman" w:hAnsi="Times New Roman" w:cs="Times New Roman"/>
          <w:sz w:val="24"/>
          <w:szCs w:val="24"/>
          <w:lang/>
        </w:rPr>
        <w:t xml:space="preserve"> will be asked to give its positive clearance of a draft ED SOP on Long Duration Contracts shortly. </w:t>
      </w:r>
    </w:p>
    <w:p w:rsidR="000A2FDA" w:rsidRPr="000A2FDA" w:rsidRDefault="000A2FDA" w:rsidP="000A2FDA">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rPr>
      </w:pPr>
      <w:r w:rsidRPr="000A2FDA">
        <w:rPr>
          <w:rFonts w:ascii="Times New Roman" w:eastAsia="Times New Roman" w:hAnsi="Times New Roman" w:cs="Times New Roman"/>
          <w:sz w:val="24"/>
          <w:szCs w:val="24"/>
          <w:lang/>
        </w:rPr>
        <w:t xml:space="preserve">The PSC reviewed proposed TPAs related to insurance separate accounts. AICPA staff will seek SEC staff input on the TPAs. Target release is during the first quarter of 2002. </w:t>
      </w:r>
    </w:p>
    <w:p w:rsidR="000A2FDA" w:rsidRPr="000A2FDA" w:rsidRDefault="000A2FDA" w:rsidP="000A2FDA">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rPr>
      </w:pPr>
      <w:r w:rsidRPr="000A2FDA">
        <w:rPr>
          <w:rFonts w:ascii="Times New Roman" w:eastAsia="Times New Roman" w:hAnsi="Times New Roman" w:cs="Times New Roman"/>
          <w:sz w:val="24"/>
          <w:szCs w:val="24"/>
          <w:lang/>
        </w:rPr>
        <w:t xml:space="preserve">The PSC asked the customer acquisition costs task force to split a proposed prospectus into two parts: (1) focus on issues specific to SOP 93-7 on advertising and (2) focus on broader issues related to customer acquisition costs that do not relate to a specific revenue stream. </w:t>
      </w:r>
    </w:p>
    <w:p w:rsidR="000A2FDA" w:rsidRPr="000A2FDA" w:rsidRDefault="000A2FDA" w:rsidP="000A2FDA">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rPr>
      </w:pPr>
      <w:r w:rsidRPr="000A2FDA">
        <w:rPr>
          <w:rFonts w:ascii="Times New Roman" w:eastAsia="Times New Roman" w:hAnsi="Times New Roman" w:cs="Times New Roman"/>
          <w:sz w:val="24"/>
          <w:szCs w:val="24"/>
          <w:lang/>
        </w:rPr>
        <w:t xml:space="preserve">The PSC decided that entities subject to the Broker Dealer Guide should continue to follow the guidance in that Guide related to expense reimbursements. A </w:t>
      </w:r>
      <w:r w:rsidRPr="000A2FDA">
        <w:rPr>
          <w:rFonts w:ascii="Times New Roman" w:eastAsia="Times New Roman" w:hAnsi="Times New Roman" w:cs="Times New Roman"/>
          <w:sz w:val="24"/>
          <w:szCs w:val="24"/>
          <w:lang/>
        </w:rPr>
        <w:lastRenderedPageBreak/>
        <w:t xml:space="preserve">possible issue arose because of a recent EITF announcement titled </w:t>
      </w:r>
      <w:r w:rsidRPr="000A2FDA">
        <w:rPr>
          <w:rFonts w:ascii="Times New Roman" w:eastAsia="Times New Roman" w:hAnsi="Times New Roman" w:cs="Times New Roman"/>
          <w:i/>
          <w:iCs/>
          <w:sz w:val="24"/>
          <w:szCs w:val="24"/>
          <w:lang/>
        </w:rPr>
        <w:t>Income Statement Characterization of Amounts Billed for "Out-of-Pocket" Expenses Pursuant to a Contractual Right of Reimbursement</w:t>
      </w:r>
      <w:r w:rsidRPr="000A2FDA">
        <w:rPr>
          <w:rFonts w:ascii="Times New Roman" w:eastAsia="Times New Roman" w:hAnsi="Times New Roman" w:cs="Times New Roman"/>
          <w:sz w:val="24"/>
          <w:szCs w:val="24"/>
          <w:lang/>
        </w:rPr>
        <w:t xml:space="preserve">. If/when </w:t>
      </w:r>
      <w:proofErr w:type="spellStart"/>
      <w:r w:rsidRPr="000A2FDA">
        <w:rPr>
          <w:rFonts w:ascii="Times New Roman" w:eastAsia="Times New Roman" w:hAnsi="Times New Roman" w:cs="Times New Roman"/>
          <w:sz w:val="24"/>
          <w:szCs w:val="24"/>
          <w:lang/>
        </w:rPr>
        <w:t>AcSEC</w:t>
      </w:r>
      <w:proofErr w:type="spellEnd"/>
      <w:r w:rsidRPr="000A2FDA">
        <w:rPr>
          <w:rFonts w:ascii="Times New Roman" w:eastAsia="Times New Roman" w:hAnsi="Times New Roman" w:cs="Times New Roman"/>
          <w:sz w:val="24"/>
          <w:szCs w:val="24"/>
          <w:lang/>
        </w:rPr>
        <w:t xml:space="preserve"> undertakes a major revision to the Broker Dealer Guide, </w:t>
      </w:r>
      <w:proofErr w:type="spellStart"/>
      <w:r w:rsidRPr="000A2FDA">
        <w:rPr>
          <w:rFonts w:ascii="Times New Roman" w:eastAsia="Times New Roman" w:hAnsi="Times New Roman" w:cs="Times New Roman"/>
          <w:sz w:val="24"/>
          <w:szCs w:val="24"/>
          <w:lang/>
        </w:rPr>
        <w:t>AcSEC</w:t>
      </w:r>
      <w:proofErr w:type="spellEnd"/>
      <w:r w:rsidRPr="000A2FDA">
        <w:rPr>
          <w:rFonts w:ascii="Times New Roman" w:eastAsia="Times New Roman" w:hAnsi="Times New Roman" w:cs="Times New Roman"/>
          <w:sz w:val="24"/>
          <w:szCs w:val="24"/>
          <w:lang/>
        </w:rPr>
        <w:t xml:space="preserve"> will consider the guidance in the EITF announcement. </w:t>
      </w:r>
    </w:p>
    <w:p w:rsidR="000A2FDA" w:rsidRPr="000A2FDA" w:rsidRDefault="000A2FDA" w:rsidP="000A2FDA">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rPr>
      </w:pPr>
      <w:proofErr w:type="spellStart"/>
      <w:r w:rsidRPr="000A2FDA">
        <w:rPr>
          <w:rFonts w:ascii="Times New Roman" w:eastAsia="Times New Roman" w:hAnsi="Times New Roman" w:cs="Times New Roman"/>
          <w:sz w:val="24"/>
          <w:szCs w:val="24"/>
          <w:lang/>
        </w:rPr>
        <w:t>AcSEC</w:t>
      </w:r>
      <w:proofErr w:type="spellEnd"/>
      <w:r w:rsidRPr="000A2FDA">
        <w:rPr>
          <w:rFonts w:ascii="Times New Roman" w:eastAsia="Times New Roman" w:hAnsi="Times New Roman" w:cs="Times New Roman"/>
          <w:sz w:val="24"/>
          <w:szCs w:val="24"/>
          <w:lang/>
        </w:rPr>
        <w:t xml:space="preserve"> will devote 8 hours at its March 5 meeting to the Allowance for Loan Losses project. </w:t>
      </w:r>
    </w:p>
    <w:p w:rsidR="000A2FDA" w:rsidRPr="000A2FDA" w:rsidRDefault="000A2FDA" w:rsidP="000A2FDA">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rPr>
      </w:pPr>
      <w:proofErr w:type="spellStart"/>
      <w:r w:rsidRPr="000A2FDA">
        <w:rPr>
          <w:rFonts w:ascii="Times New Roman" w:eastAsia="Times New Roman" w:hAnsi="Times New Roman" w:cs="Times New Roman"/>
          <w:sz w:val="24"/>
          <w:szCs w:val="24"/>
          <w:lang/>
        </w:rPr>
        <w:t>AcSEC</w:t>
      </w:r>
      <w:proofErr w:type="spellEnd"/>
      <w:r w:rsidRPr="000A2FDA">
        <w:rPr>
          <w:rFonts w:ascii="Times New Roman" w:eastAsia="Times New Roman" w:hAnsi="Times New Roman" w:cs="Times New Roman"/>
          <w:sz w:val="24"/>
          <w:szCs w:val="24"/>
          <w:lang/>
        </w:rPr>
        <w:t xml:space="preserve"> will discuss FASB's revenue recognition prospectus at its March meeting. </w:t>
      </w:r>
    </w:p>
    <w:p w:rsidR="000A2FDA" w:rsidRPr="000A2FDA" w:rsidRDefault="000A2FDA" w:rsidP="000A2FDA">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rPr>
      </w:pPr>
      <w:proofErr w:type="spellStart"/>
      <w:r w:rsidRPr="000A2FDA">
        <w:rPr>
          <w:rFonts w:ascii="Times New Roman" w:eastAsia="Times New Roman" w:hAnsi="Times New Roman" w:cs="Times New Roman"/>
          <w:sz w:val="24"/>
          <w:szCs w:val="24"/>
          <w:lang/>
        </w:rPr>
        <w:t>AcSEC</w:t>
      </w:r>
      <w:proofErr w:type="spellEnd"/>
      <w:r w:rsidRPr="000A2FDA">
        <w:rPr>
          <w:rFonts w:ascii="Times New Roman" w:eastAsia="Times New Roman" w:hAnsi="Times New Roman" w:cs="Times New Roman"/>
          <w:sz w:val="24"/>
          <w:szCs w:val="24"/>
          <w:lang/>
        </w:rPr>
        <w:t xml:space="preserve"> issued SOP 01-6, </w:t>
      </w:r>
      <w:r w:rsidRPr="000A2FDA">
        <w:rPr>
          <w:rFonts w:ascii="Times New Roman" w:eastAsia="Times New Roman" w:hAnsi="Times New Roman" w:cs="Times New Roman"/>
          <w:i/>
          <w:iCs/>
          <w:sz w:val="24"/>
          <w:szCs w:val="24"/>
          <w:lang/>
        </w:rPr>
        <w:t xml:space="preserve">Accounting by Certain Entities (Including Entities </w:t>
      </w:r>
      <w:proofErr w:type="gramStart"/>
      <w:r w:rsidRPr="000A2FDA">
        <w:rPr>
          <w:rFonts w:ascii="Times New Roman" w:eastAsia="Times New Roman" w:hAnsi="Times New Roman" w:cs="Times New Roman"/>
          <w:i/>
          <w:iCs/>
          <w:sz w:val="24"/>
          <w:szCs w:val="24"/>
          <w:lang/>
        </w:rPr>
        <w:t>With</w:t>
      </w:r>
      <w:proofErr w:type="gramEnd"/>
      <w:r w:rsidRPr="000A2FDA">
        <w:rPr>
          <w:rFonts w:ascii="Times New Roman" w:eastAsia="Times New Roman" w:hAnsi="Times New Roman" w:cs="Times New Roman"/>
          <w:i/>
          <w:iCs/>
          <w:sz w:val="24"/>
          <w:szCs w:val="24"/>
          <w:lang/>
        </w:rPr>
        <w:t xml:space="preserve"> Trade Receivables) That Lend to or Finance the Activities of Others</w:t>
      </w:r>
      <w:r w:rsidRPr="000A2FDA">
        <w:rPr>
          <w:rFonts w:ascii="Times New Roman" w:eastAsia="Times New Roman" w:hAnsi="Times New Roman" w:cs="Times New Roman"/>
          <w:sz w:val="24"/>
          <w:szCs w:val="24"/>
          <w:lang/>
        </w:rPr>
        <w:t xml:space="preserve">. In March 2001, the Federal Financial Institution Examination Council (FFIEC) issued guidance on when a charge-off should occur for a loan transferred to held-for-sale status. The PSC decided to add language to the forthcoming Financial Institutions Guide to make clear that SOP 01-6 does not provide guidance on when an entity should record a charge-off, and that entities subject to FFIEC oversight should follow the FFIEC's guidance on when to record a charge-off. </w:t>
      </w:r>
    </w:p>
    <w:p w:rsidR="000A2FDA" w:rsidRPr="000A2FDA" w:rsidRDefault="000A2FDA" w:rsidP="000A2FDA">
      <w:pPr>
        <w:spacing w:before="100" w:beforeAutospacing="1" w:after="100" w:afterAutospacing="1" w:line="240" w:lineRule="auto"/>
        <w:rPr>
          <w:rFonts w:ascii="Times New Roman" w:eastAsia="Times New Roman" w:hAnsi="Times New Roman" w:cs="Times New Roman"/>
          <w:sz w:val="24"/>
          <w:szCs w:val="24"/>
          <w:lang/>
        </w:rPr>
      </w:pPr>
      <w:r w:rsidRPr="000A2FDA">
        <w:rPr>
          <w:rFonts w:ascii="Times New Roman" w:eastAsia="Times New Roman" w:hAnsi="Times New Roman" w:cs="Times New Roman"/>
          <w:b/>
          <w:bCs/>
          <w:sz w:val="24"/>
          <w:szCs w:val="24"/>
          <w:lang/>
        </w:rPr>
        <w:t>Liaison with AICPA Technical Issues Committee (TIC)</w:t>
      </w:r>
    </w:p>
    <w:p w:rsidR="000A2FDA" w:rsidRPr="000A2FDA" w:rsidRDefault="000A2FDA" w:rsidP="000A2FDA">
      <w:pPr>
        <w:spacing w:before="100" w:beforeAutospacing="1" w:after="100" w:afterAutospacing="1" w:line="240" w:lineRule="auto"/>
        <w:rPr>
          <w:rFonts w:ascii="Times New Roman" w:eastAsia="Times New Roman" w:hAnsi="Times New Roman" w:cs="Times New Roman"/>
          <w:sz w:val="24"/>
          <w:szCs w:val="24"/>
          <w:lang/>
        </w:rPr>
      </w:pPr>
      <w:proofErr w:type="spellStart"/>
      <w:r w:rsidRPr="000A2FDA">
        <w:rPr>
          <w:rFonts w:ascii="Times New Roman" w:eastAsia="Times New Roman" w:hAnsi="Times New Roman" w:cs="Times New Roman"/>
          <w:sz w:val="24"/>
          <w:szCs w:val="24"/>
          <w:lang/>
        </w:rPr>
        <w:t>AcSEC</w:t>
      </w:r>
      <w:proofErr w:type="spellEnd"/>
      <w:r w:rsidRPr="000A2FDA">
        <w:rPr>
          <w:rFonts w:ascii="Times New Roman" w:eastAsia="Times New Roman" w:hAnsi="Times New Roman" w:cs="Times New Roman"/>
          <w:sz w:val="24"/>
          <w:szCs w:val="24"/>
          <w:lang/>
        </w:rPr>
        <w:t xml:space="preserve"> met with TIC to discuss matters of mutual interest.</w:t>
      </w:r>
    </w:p>
    <w:p w:rsidR="000A2FDA" w:rsidRPr="000A2FDA" w:rsidRDefault="000A2FDA" w:rsidP="000A2FDA">
      <w:pPr>
        <w:spacing w:before="100" w:beforeAutospacing="1" w:after="100" w:afterAutospacing="1" w:line="240" w:lineRule="auto"/>
        <w:rPr>
          <w:rFonts w:ascii="Times New Roman" w:eastAsia="Times New Roman" w:hAnsi="Times New Roman" w:cs="Times New Roman"/>
          <w:sz w:val="24"/>
          <w:szCs w:val="24"/>
          <w:lang/>
        </w:rPr>
      </w:pPr>
      <w:r w:rsidRPr="000A2FDA">
        <w:rPr>
          <w:rFonts w:ascii="Times New Roman" w:eastAsia="Times New Roman" w:hAnsi="Times New Roman" w:cs="Times New Roman"/>
          <w:b/>
          <w:bCs/>
          <w:sz w:val="24"/>
          <w:szCs w:val="24"/>
          <w:lang/>
        </w:rPr>
        <w:t xml:space="preserve">Future Meetings of </w:t>
      </w:r>
      <w:proofErr w:type="spellStart"/>
      <w:r w:rsidRPr="000A2FDA">
        <w:rPr>
          <w:rFonts w:ascii="Times New Roman" w:eastAsia="Times New Roman" w:hAnsi="Times New Roman" w:cs="Times New Roman"/>
          <w:b/>
          <w:bCs/>
          <w:sz w:val="24"/>
          <w:szCs w:val="24"/>
          <w:lang/>
        </w:rPr>
        <w:t>AcSEC</w:t>
      </w:r>
      <w:proofErr w:type="spellEnd"/>
    </w:p>
    <w:p w:rsidR="000A2FDA" w:rsidRPr="000A2FDA" w:rsidRDefault="000A2FDA" w:rsidP="000A2FDA">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rPr>
      </w:pPr>
      <w:r w:rsidRPr="000A2FDA">
        <w:rPr>
          <w:rFonts w:ascii="Times New Roman" w:eastAsia="Times New Roman" w:hAnsi="Times New Roman" w:cs="Times New Roman"/>
          <w:sz w:val="24"/>
          <w:szCs w:val="24"/>
          <w:lang/>
        </w:rPr>
        <w:t xml:space="preserve">March 5-6, 2002 — New York </w:t>
      </w:r>
    </w:p>
    <w:p w:rsidR="000A2FDA" w:rsidRPr="000A2FDA" w:rsidRDefault="000A2FDA" w:rsidP="000A2FDA">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rPr>
      </w:pPr>
      <w:r w:rsidRPr="000A2FDA">
        <w:rPr>
          <w:rFonts w:ascii="Times New Roman" w:eastAsia="Times New Roman" w:hAnsi="Times New Roman" w:cs="Times New Roman"/>
          <w:sz w:val="24"/>
          <w:szCs w:val="24"/>
          <w:lang/>
        </w:rPr>
        <w:t xml:space="preserve">April 30-May 1, 2002 — New York </w:t>
      </w:r>
    </w:p>
    <w:p w:rsidR="00347F43" w:rsidRPr="000A2FDA" w:rsidRDefault="000A2FDA" w:rsidP="000A2FDA">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rPr>
      </w:pPr>
      <w:r w:rsidRPr="000A2FDA">
        <w:rPr>
          <w:rFonts w:ascii="Times New Roman" w:eastAsia="Times New Roman" w:hAnsi="Times New Roman" w:cs="Times New Roman"/>
          <w:sz w:val="24"/>
          <w:szCs w:val="24"/>
          <w:lang/>
        </w:rPr>
        <w:t xml:space="preserve">June 11-12, 2002 — New York </w:t>
      </w:r>
    </w:p>
    <w:sectPr w:rsidR="00347F43" w:rsidRPr="000A2FDA" w:rsidSect="00347F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6551B"/>
    <w:multiLevelType w:val="multilevel"/>
    <w:tmpl w:val="39B0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0D037B"/>
    <w:multiLevelType w:val="multilevel"/>
    <w:tmpl w:val="900A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EB4E3C"/>
    <w:multiLevelType w:val="multilevel"/>
    <w:tmpl w:val="18B2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DD7CDD"/>
    <w:multiLevelType w:val="multilevel"/>
    <w:tmpl w:val="FE3E1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A2FDA"/>
    <w:rsid w:val="000A2FDA"/>
    <w:rsid w:val="00347F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F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2F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2FDA"/>
    <w:rPr>
      <w:color w:val="0000FF"/>
      <w:u w:val="single"/>
    </w:rPr>
  </w:style>
</w:styles>
</file>

<file path=word/webSettings.xml><?xml version="1.0" encoding="utf-8"?>
<w:webSettings xmlns:r="http://schemas.openxmlformats.org/officeDocument/2006/relationships" xmlns:w="http://schemas.openxmlformats.org/wordprocessingml/2006/main">
  <w:divs>
    <w:div w:id="930508110">
      <w:bodyDiv w:val="1"/>
      <w:marLeft w:val="0"/>
      <w:marRight w:val="0"/>
      <w:marTop w:val="0"/>
      <w:marBottom w:val="0"/>
      <w:divBdr>
        <w:top w:val="none" w:sz="0" w:space="0" w:color="auto"/>
        <w:left w:val="none" w:sz="0" w:space="0" w:color="auto"/>
        <w:bottom w:val="none" w:sz="0" w:space="0" w:color="auto"/>
        <w:right w:val="none" w:sz="0" w:space="0" w:color="auto"/>
      </w:divBdr>
      <w:divsChild>
        <w:div w:id="819267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icpa.org/members/div/acctstd/general/othitem.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962</Words>
  <Characters>5490</Characters>
  <Application>Microsoft Office Word</Application>
  <DocSecurity>0</DocSecurity>
  <Lines>45</Lines>
  <Paragraphs>12</Paragraphs>
  <ScaleCrop>false</ScaleCrop>
  <Company>Deloitte</Company>
  <LinksUpToDate>false</LinksUpToDate>
  <CharactersWithSpaces>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Porter, Charnette</dc:creator>
  <cp:lastModifiedBy>Porter, Charnette</cp:lastModifiedBy>
  <cp:revision>1</cp:revision>
  <dcterms:created xsi:type="dcterms:W3CDTF">2009-03-11T17:53:00Z</dcterms:created>
  <dcterms:modified xsi:type="dcterms:W3CDTF">2009-03-11T17:54:00Z</dcterms:modified>
</cp:coreProperties>
</file>