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983BF" w14:textId="68183B96" w:rsidR="007E233F" w:rsidRPr="00493116" w:rsidRDefault="0015121E" w:rsidP="0015121E">
      <w:pPr>
        <w:pStyle w:val="PGADateSubtitle"/>
        <w:rPr>
          <w:b/>
        </w:rPr>
      </w:pPr>
      <w:r>
        <w:rPr>
          <w:noProof/>
        </w:rPr>
        <w:drawing>
          <wp:anchor distT="914400" distB="914400" distL="114300" distR="114300" simplePos="0" relativeHeight="251672576" behindDoc="0" locked="0" layoutInCell="1" allowOverlap="1" wp14:anchorId="04B2E115" wp14:editId="2167B8F4">
            <wp:simplePos x="0" y="0"/>
            <wp:positionH relativeFrom="column">
              <wp:posOffset>0</wp:posOffset>
            </wp:positionH>
            <wp:positionV relativeFrom="paragraph">
              <wp:posOffset>914400</wp:posOffset>
            </wp:positionV>
            <wp:extent cx="4041648" cy="3831336"/>
            <wp:effectExtent l="0" t="0" r="0" b="0"/>
            <wp:wrapTopAndBottom/>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arrow&#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041648" cy="3831336"/>
                    </a:xfrm>
                    <a:prstGeom prst="rect">
                      <a:avLst/>
                    </a:prstGeom>
                  </pic:spPr>
                </pic:pic>
              </a:graphicData>
            </a:graphic>
            <wp14:sizeRelH relativeFrom="page">
              <wp14:pctWidth>0</wp14:pctWidth>
            </wp14:sizeRelH>
            <wp14:sizeRelV relativeFrom="page">
              <wp14:pctHeight>0</wp14:pctHeight>
            </wp14:sizeRelV>
          </wp:anchor>
        </w:drawing>
      </w:r>
      <w:r w:rsidR="00E668C3" w:rsidRPr="00493116">
        <w:rPr>
          <w:noProof/>
        </w:rPr>
        <w:drawing>
          <wp:anchor distT="0" distB="0" distL="114300" distR="114300" simplePos="0" relativeHeight="251668480" behindDoc="0" locked="1" layoutInCell="1" allowOverlap="1" wp14:anchorId="0C19C85A" wp14:editId="563262F8">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493116">
        <w:rPr>
          <w:b/>
        </w:rPr>
        <w:t>Use of This Quarterly Update</w:t>
      </w:r>
    </w:p>
    <w:p w14:paraId="03976307" w14:textId="1D02D16E" w:rsidR="00493116" w:rsidRPr="00C72910" w:rsidRDefault="00493116" w:rsidP="00493116">
      <w:pPr>
        <w:pStyle w:val="PGADateSubtitle"/>
        <w:spacing w:line="440" w:lineRule="exact"/>
        <w:rPr>
          <w:rFonts w:ascii="Calibri Light" w:hAnsi="Calibri Light" w:cs="Calibri Light"/>
          <w:sz w:val="56"/>
          <w:szCs w:val="48"/>
        </w:rPr>
      </w:pPr>
      <w:r w:rsidRPr="00493116">
        <w:rPr>
          <w:rFonts w:ascii="Calibri Light" w:hAnsi="Calibri Light" w:cs="Calibri Light"/>
          <w:sz w:val="56"/>
          <w:szCs w:val="48"/>
        </w:rPr>
        <w:t xml:space="preserve">U.S. GAAP Checklist — </w:t>
      </w:r>
      <w:r w:rsidRPr="00493116">
        <w:rPr>
          <w:rFonts w:ascii="Calibri Light" w:hAnsi="Calibri Light" w:cs="Calibri Light"/>
          <w:sz w:val="56"/>
          <w:szCs w:val="48"/>
        </w:rPr>
        <w:br/>
        <w:t xml:space="preserve">Quarterly Update: </w:t>
      </w:r>
      <w:r w:rsidR="006F5277">
        <w:rPr>
          <w:rFonts w:ascii="Calibri Light" w:hAnsi="Calibri Light" w:cs="Calibri Light"/>
          <w:sz w:val="56"/>
          <w:szCs w:val="48"/>
        </w:rPr>
        <w:t xml:space="preserve">First </w:t>
      </w:r>
      <w:r w:rsidRPr="00493116">
        <w:rPr>
          <w:rFonts w:ascii="Calibri Light" w:hAnsi="Calibri Light" w:cs="Calibri Light"/>
          <w:sz w:val="56"/>
          <w:szCs w:val="48"/>
        </w:rPr>
        <w:t>Quarter</w:t>
      </w:r>
    </w:p>
    <w:p w14:paraId="06B2192B" w14:textId="675C7578" w:rsidR="00493116" w:rsidRPr="00493116" w:rsidRDefault="006F5277" w:rsidP="00493116">
      <w:pPr>
        <w:pStyle w:val="PGADateSubtitle"/>
        <w:spacing w:before="360"/>
        <w:rPr>
          <w:rFonts w:ascii="Calibri Light" w:hAnsi="Calibri Light" w:cs="Calibri Light"/>
          <w:szCs w:val="32"/>
        </w:rPr>
      </w:pPr>
      <w:r>
        <w:rPr>
          <w:rFonts w:ascii="Calibri Light" w:hAnsi="Calibri Light" w:cs="Calibri Light"/>
          <w:szCs w:val="32"/>
        </w:rPr>
        <w:t>March</w:t>
      </w:r>
      <w:r w:rsidRPr="00493116">
        <w:rPr>
          <w:rFonts w:ascii="Calibri Light" w:hAnsi="Calibri Light" w:cs="Calibri Light"/>
          <w:szCs w:val="32"/>
        </w:rPr>
        <w:t xml:space="preserve"> 202</w:t>
      </w:r>
      <w:r>
        <w:rPr>
          <w:rFonts w:ascii="Calibri Light" w:hAnsi="Calibri Light" w:cs="Calibri Light"/>
          <w:szCs w:val="32"/>
        </w:rPr>
        <w:t>2</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38FC9783" w:rsidR="0035100C" w:rsidRPr="00493116" w:rsidRDefault="00094789" w:rsidP="00C72910">
      <w:pPr>
        <w:rPr>
          <w:rFonts w:ascii="Calibri Light" w:hAnsi="Calibri Light" w:cs="Calibri Light"/>
          <w:color w:val="000000" w:themeColor="text1"/>
        </w:rPr>
      </w:pPr>
      <w:r w:rsidRPr="00493116">
        <w:rPr>
          <w:rFonts w:ascii="Calibri Light" w:eastAsiaTheme="minorHAnsi" w:hAnsi="Calibri Light" w:cs="Calibri Light"/>
        </w:rPr>
        <w:lastRenderedPageBreak/>
        <w:t xml:space="preserve">The </w:t>
      </w:r>
      <w:r w:rsidR="004C23AC" w:rsidRPr="00493116">
        <w:rPr>
          <w:rFonts w:ascii="Calibri Light" w:eastAsiaTheme="minorHAnsi" w:hAnsi="Calibri Light" w:cs="Calibri Light"/>
        </w:rPr>
        <w:t xml:space="preserve">content of the </w:t>
      </w:r>
      <w:r w:rsidRPr="00493116">
        <w:rPr>
          <w:rFonts w:ascii="Calibri Light" w:eastAsiaTheme="minorHAnsi" w:hAnsi="Calibri Light" w:cs="Calibri Light"/>
        </w:rPr>
        <w:t>U.S. GAAP Checklist has been revised to reflect update</w:t>
      </w:r>
      <w:r w:rsidR="004F1F71" w:rsidRPr="00493116">
        <w:rPr>
          <w:rFonts w:ascii="Calibri Light" w:eastAsiaTheme="minorHAnsi" w:hAnsi="Calibri Light" w:cs="Calibri Light"/>
        </w:rPr>
        <w:t>s to</w:t>
      </w:r>
      <w:r w:rsidR="00536F9B" w:rsidRPr="00493116">
        <w:rPr>
          <w:rFonts w:ascii="Calibri Light" w:eastAsiaTheme="minorHAnsi" w:hAnsi="Calibri Light" w:cs="Calibri Light"/>
        </w:rPr>
        <w:t xml:space="preserve"> </w:t>
      </w:r>
      <w:r w:rsidRPr="00493116">
        <w:rPr>
          <w:rFonts w:ascii="Calibri Light" w:eastAsiaTheme="minorHAnsi" w:hAnsi="Calibri Light" w:cs="Calibri Light"/>
        </w:rPr>
        <w:t>professional pronouncements from</w:t>
      </w:r>
      <w:r w:rsidR="0061355B" w:rsidRPr="00493116">
        <w:rPr>
          <w:rFonts w:ascii="Calibri Light" w:eastAsiaTheme="minorHAnsi" w:hAnsi="Calibri Light" w:cs="Calibri Light"/>
        </w:rPr>
        <w:t xml:space="preserve"> </w:t>
      </w:r>
      <w:r w:rsidR="006F5277" w:rsidRPr="006F5277">
        <w:rPr>
          <w:rFonts w:ascii="Calibri Light" w:eastAsiaTheme="minorHAnsi" w:hAnsi="Calibri Light" w:cs="Calibri Light"/>
        </w:rPr>
        <w:t>January 1, 202</w:t>
      </w:r>
      <w:r w:rsidR="006F5277">
        <w:rPr>
          <w:rFonts w:ascii="Calibri Light" w:eastAsiaTheme="minorHAnsi" w:hAnsi="Calibri Light" w:cs="Calibri Light"/>
        </w:rPr>
        <w:t>2</w:t>
      </w:r>
      <w:r w:rsidR="006F5277" w:rsidRPr="006F5277">
        <w:rPr>
          <w:rFonts w:ascii="Calibri Light" w:eastAsiaTheme="minorHAnsi" w:hAnsi="Calibri Light" w:cs="Calibri Light"/>
        </w:rPr>
        <w:t>, through March 31, 202</w:t>
      </w:r>
      <w:r w:rsidR="006F5277">
        <w:rPr>
          <w:rFonts w:ascii="Calibri Light" w:eastAsiaTheme="minorHAnsi" w:hAnsi="Calibri Light" w:cs="Calibri Light"/>
        </w:rPr>
        <w:t>2</w:t>
      </w:r>
      <w:r w:rsidRPr="00493116">
        <w:rPr>
          <w:rFonts w:ascii="Calibri Light" w:eastAsiaTheme="minorHAnsi" w:hAnsi="Calibri Light" w:cs="Calibri Light"/>
        </w:rPr>
        <w:t xml:space="preserve">. </w:t>
      </w:r>
      <w:r w:rsidR="00C612CD" w:rsidRPr="00493116">
        <w:rPr>
          <w:rFonts w:ascii="Calibri Light" w:eastAsiaTheme="minorHAnsi" w:hAnsi="Calibri Light" w:cs="Calibri Light"/>
        </w:rPr>
        <w:t xml:space="preserve">This supplement </w:t>
      </w:r>
      <w:r w:rsidR="00D57D3C" w:rsidRPr="00493116">
        <w:rPr>
          <w:rFonts w:ascii="Calibri Light" w:eastAsiaTheme="minorHAnsi" w:hAnsi="Calibri Light" w:cs="Calibri Light"/>
        </w:rPr>
        <w:t xml:space="preserve">describes </w:t>
      </w:r>
      <w:r w:rsidR="0061355B" w:rsidRPr="00493116">
        <w:rPr>
          <w:rFonts w:ascii="Calibri Light" w:eastAsiaTheme="minorHAnsi" w:hAnsi="Calibri Light" w:cs="Calibri Light"/>
        </w:rPr>
        <w:t xml:space="preserve">the </w:t>
      </w:r>
      <w:r w:rsidRPr="00493116">
        <w:rPr>
          <w:rFonts w:ascii="Calibri Light" w:eastAsiaTheme="minorHAnsi" w:hAnsi="Calibri Light" w:cs="Calibri Light"/>
        </w:rPr>
        <w:t>changes</w:t>
      </w:r>
      <w:r w:rsidR="00C612CD" w:rsidRPr="00493116">
        <w:rPr>
          <w:rFonts w:ascii="Calibri Light" w:eastAsiaTheme="minorHAnsi" w:hAnsi="Calibri Light" w:cs="Calibri Light"/>
        </w:rPr>
        <w:t xml:space="preserve"> to the</w:t>
      </w:r>
      <w:r w:rsidRPr="00493116">
        <w:rPr>
          <w:rFonts w:ascii="Calibri Light" w:eastAsiaTheme="minorHAnsi" w:hAnsi="Calibri Light" w:cs="Calibri Light"/>
        </w:rPr>
        <w:t xml:space="preserve"> FASB Accounting Standards Codification (</w:t>
      </w:r>
      <w:r w:rsidR="00D57D3C" w:rsidRPr="00493116">
        <w:rPr>
          <w:rFonts w:ascii="Calibri Light" w:eastAsiaTheme="minorHAnsi" w:hAnsi="Calibri Light" w:cs="Calibri Light"/>
        </w:rPr>
        <w:t xml:space="preserve">the </w:t>
      </w:r>
      <w:r w:rsidRPr="00493116">
        <w:rPr>
          <w:rFonts w:ascii="Calibri Light" w:eastAsiaTheme="minorHAnsi" w:hAnsi="Calibri Light" w:cs="Calibri Light"/>
        </w:rPr>
        <w:t>“Codification”)</w:t>
      </w:r>
      <w:r w:rsidR="00C612CD" w:rsidRPr="00493116">
        <w:rPr>
          <w:rFonts w:ascii="Calibri Light" w:eastAsiaTheme="minorHAnsi" w:hAnsi="Calibri Light" w:cs="Calibri Light"/>
        </w:rPr>
        <w:t xml:space="preserve"> </w:t>
      </w:r>
      <w:r w:rsidRPr="00493116">
        <w:rPr>
          <w:rFonts w:ascii="Calibri Light" w:eastAsiaTheme="minorHAnsi" w:hAnsi="Calibri Light" w:cs="Calibri Light"/>
        </w:rPr>
        <w:t>issued as Accounting Standards Updates (ASUs)</w:t>
      </w:r>
      <w:r w:rsidR="0061355B" w:rsidRPr="00493116">
        <w:rPr>
          <w:rFonts w:ascii="Calibri Light" w:eastAsiaTheme="minorHAnsi" w:hAnsi="Calibri Light" w:cs="Calibri Light"/>
        </w:rPr>
        <w:t xml:space="preserve"> for the most </w:t>
      </w:r>
      <w:r w:rsidR="000970EA" w:rsidRPr="00493116">
        <w:rPr>
          <w:rFonts w:ascii="Calibri Light" w:eastAsiaTheme="minorHAnsi" w:hAnsi="Calibri Light" w:cs="Calibri Light"/>
        </w:rPr>
        <w:t>r</w:t>
      </w:r>
      <w:r w:rsidR="0061355B" w:rsidRPr="00493116">
        <w:rPr>
          <w:rFonts w:ascii="Calibri Light" w:eastAsiaTheme="minorHAnsi" w:hAnsi="Calibri Light" w:cs="Calibri Light"/>
        </w:rPr>
        <w:t xml:space="preserve">ecent </w:t>
      </w:r>
      <w:r w:rsidR="00590EF2" w:rsidRPr="00493116">
        <w:rPr>
          <w:rFonts w:ascii="Calibri Light" w:eastAsiaTheme="minorHAnsi" w:hAnsi="Calibri Light" w:cs="Calibri Light"/>
        </w:rPr>
        <w:t>quarter</w:t>
      </w:r>
      <w:r w:rsidR="00C45DCF" w:rsidRPr="00493116">
        <w:rPr>
          <w:rFonts w:ascii="Calibri Light" w:eastAsiaTheme="minorHAnsi" w:hAnsi="Calibri Light" w:cs="Calibri Light"/>
        </w:rPr>
        <w:t xml:space="preserve"> ended</w:t>
      </w:r>
      <w:r w:rsidR="001F587B" w:rsidRPr="00493116">
        <w:rPr>
          <w:rFonts w:ascii="Calibri Light" w:eastAsiaTheme="minorHAnsi" w:hAnsi="Calibri Light" w:cs="Calibri Light"/>
        </w:rPr>
        <w:t>.</w:t>
      </w:r>
    </w:p>
    <w:p w14:paraId="1CA8F567" w14:textId="6BAB6B26" w:rsidR="005C729F" w:rsidRPr="00F176F9" w:rsidRDefault="00C72910" w:rsidP="00C72910">
      <w:pPr>
        <w:pStyle w:val="PAH2"/>
        <w:outlineLvl w:val="0"/>
        <w:rPr>
          <w:rFonts w:ascii="Calibri Light" w:hAnsi="Calibri Light" w:cs="Calibri Light"/>
          <w:b/>
          <w:bCs w:val="0"/>
          <w:i w:val="0"/>
          <w:color w:val="auto"/>
        </w:rPr>
      </w:pPr>
      <w:bookmarkStart w:id="0" w:name="_Hlt407617848"/>
      <w:bookmarkStart w:id="1" w:name="_Hlt407617849"/>
      <w:bookmarkStart w:id="2" w:name="_Hlt399854332"/>
      <w:r w:rsidRPr="00F176F9">
        <w:rPr>
          <w:rFonts w:ascii="Calibri Light" w:hAnsi="Calibri Light" w:cs="Calibri Light"/>
          <w:b/>
          <w:bCs w:val="0"/>
          <w:i w:val="0"/>
          <w:color w:val="auto"/>
        </w:rPr>
        <w:t>U</w:t>
      </w:r>
      <w:bookmarkEnd w:id="0"/>
      <w:bookmarkEnd w:id="1"/>
      <w:bookmarkEnd w:id="2"/>
      <w:r w:rsidRPr="00F176F9">
        <w:rPr>
          <w:rFonts w:ascii="Calibri Light" w:hAnsi="Calibri Light" w:cs="Calibri Light"/>
          <w:b/>
          <w:bCs w:val="0"/>
          <w:i w:val="0"/>
          <w:color w:val="auto"/>
        </w:rPr>
        <w:t>PDATING THE U.S. GAAP CHECKLIST</w:t>
      </w:r>
    </w:p>
    <w:p w14:paraId="18DB41B8" w14:textId="7E171DF9" w:rsidR="005C729F" w:rsidRPr="00493116" w:rsidRDefault="005C729F" w:rsidP="00C72910">
      <w:pPr>
        <w:rPr>
          <w:rStyle w:val="pdocumentul1"/>
          <w:rFonts w:ascii="Calibri Light" w:hAnsi="Calibri Light" w:cs="Calibri Light"/>
        </w:rPr>
      </w:pPr>
      <w:r w:rsidRPr="00493116">
        <w:rPr>
          <w:rFonts w:ascii="Calibri Light" w:eastAsiaTheme="minorHAnsi" w:hAnsi="Calibri Light" w:cs="Calibri Light"/>
        </w:rPr>
        <w:t xml:space="preserve">Users of the </w:t>
      </w:r>
      <w:r w:rsidR="000F1DC5" w:rsidRPr="00493116">
        <w:rPr>
          <w:rFonts w:ascii="Calibri Light" w:eastAsiaTheme="minorHAnsi" w:hAnsi="Calibri Light" w:cs="Calibri Light"/>
        </w:rPr>
        <w:t>U.S. GAAP Checklist</w:t>
      </w:r>
      <w:r w:rsidRPr="00493116">
        <w:rPr>
          <w:rFonts w:ascii="Calibri Light" w:eastAsiaTheme="minorHAnsi" w:hAnsi="Calibri Light" w:cs="Calibri Light"/>
        </w:rPr>
        <w:t xml:space="preserve"> who initiated a checklist prior to this update</w:t>
      </w:r>
      <w:r w:rsidR="005813DD" w:rsidRPr="00493116">
        <w:rPr>
          <w:rFonts w:ascii="Calibri Light" w:eastAsiaTheme="minorHAnsi" w:hAnsi="Calibri Light" w:cs="Calibri Light"/>
        </w:rPr>
        <w:t xml:space="preserve"> and determine that one or more of the ASUs issued affect the period under audit</w:t>
      </w:r>
      <w:r w:rsidRPr="00493116">
        <w:rPr>
          <w:rFonts w:ascii="Calibri Light" w:eastAsiaTheme="minorHAnsi" w:hAnsi="Calibri Light" w:cs="Calibri Light"/>
        </w:rPr>
        <w:t xml:space="preserve"> will need to do the following:</w:t>
      </w:r>
    </w:p>
    <w:p w14:paraId="2E74E665" w14:textId="77777777"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Request</w:t>
      </w:r>
      <w:r w:rsidR="0053412C" w:rsidRPr="00493116">
        <w:rPr>
          <w:rStyle w:val="documentlip1"/>
          <w:rFonts w:ascii="Calibri Light" w:hAnsi="Calibri Light" w:cs="Calibri Light"/>
        </w:rPr>
        <w:t xml:space="preserve"> </w:t>
      </w:r>
      <w:r w:rsidRPr="00493116">
        <w:rPr>
          <w:rStyle w:val="documentlip1"/>
          <w:rFonts w:ascii="Calibri Light" w:hAnsi="Calibri Light" w:cs="Calibri Light"/>
        </w:rPr>
        <w:t>the Deloitte engagement team to initiate a new checklist. This new checklist will supplement the previous checklist created.</w:t>
      </w:r>
    </w:p>
    <w:p w14:paraId="55B76D28" w14:textId="141B68F6"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 xml:space="preserve">Using the list of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below, </w:t>
      </w:r>
      <w:r w:rsidR="00920EF7" w:rsidRPr="00493116">
        <w:rPr>
          <w:rStyle w:val="documentlip1"/>
          <w:rFonts w:ascii="Calibri Light" w:hAnsi="Calibri Light" w:cs="Calibri Light"/>
        </w:rPr>
        <w:t xml:space="preserve">frame the checklist to </w:t>
      </w:r>
      <w:r w:rsidRPr="00493116">
        <w:rPr>
          <w:rStyle w:val="documentlip1"/>
          <w:rFonts w:ascii="Calibri Light" w:hAnsi="Calibri Light" w:cs="Calibri Light"/>
        </w:rPr>
        <w:t>scope</w:t>
      </w:r>
      <w:r w:rsidR="008250C0" w:rsidRPr="00493116">
        <w:rPr>
          <w:rStyle w:val="documentlip1"/>
          <w:rFonts w:ascii="Calibri Light" w:hAnsi="Calibri Light" w:cs="Calibri Light"/>
          <w:szCs w:val="22"/>
          <w:vertAlign w:val="superscript"/>
        </w:rPr>
        <w:footnoteReference w:id="2"/>
      </w:r>
      <w:r w:rsidRPr="00493116">
        <w:rPr>
          <w:rStyle w:val="documentlip1"/>
          <w:rFonts w:ascii="Calibri Light" w:hAnsi="Calibri Light" w:cs="Calibri Light"/>
          <w:szCs w:val="22"/>
          <w:vertAlign w:val="superscript"/>
        </w:rPr>
        <w:t xml:space="preserve"> </w:t>
      </w:r>
      <w:r w:rsidRPr="00493116">
        <w:rPr>
          <w:rStyle w:val="documentlip1"/>
          <w:rFonts w:ascii="Calibri Light" w:hAnsi="Calibri Light" w:cs="Calibri Light"/>
        </w:rPr>
        <w:t xml:space="preserve">in only the applicable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To determine whether the guidance applies, users may view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in the checklist by expanding the Codification tree to the Subsection level and clicking on the Subsection title (usually “General”).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w:t>
      </w:r>
      <w:r w:rsidR="00A94FCF" w:rsidRPr="00493116">
        <w:rPr>
          <w:rStyle w:val="documentlip1"/>
          <w:rFonts w:ascii="Calibri Light" w:hAnsi="Calibri Light" w:cs="Calibri Light"/>
        </w:rPr>
        <w:t xml:space="preserve">generally </w:t>
      </w:r>
      <w:r w:rsidRPr="00493116">
        <w:rPr>
          <w:rStyle w:val="documentlip1"/>
          <w:rFonts w:ascii="Calibri Light" w:hAnsi="Calibri Light" w:cs="Calibri Light"/>
        </w:rPr>
        <w:t>will appear as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 xml:space="preserve">ontent” in the Codification. Transition guidance is linked to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ontent paragraphs</w:t>
      </w:r>
      <w:r w:rsidR="00264CC4" w:rsidRPr="00493116">
        <w:rPr>
          <w:rStyle w:val="documentlip1"/>
          <w:rFonts w:ascii="Calibri Light" w:hAnsi="Calibri Light" w:cs="Calibri Light"/>
        </w:rPr>
        <w:t>.</w:t>
      </w:r>
      <w:r w:rsidR="003861EE" w:rsidRPr="00493116">
        <w:rPr>
          <w:rStyle w:val="documentlip1"/>
          <w:rFonts w:ascii="Calibri Light" w:hAnsi="Calibri Light" w:cs="Calibri Light"/>
        </w:rPr>
        <w:t xml:space="preserve"> Section 15 of </w:t>
      </w:r>
      <w:r w:rsidR="00293EA9" w:rsidRPr="00493116">
        <w:rPr>
          <w:rStyle w:val="documentlip1"/>
          <w:rFonts w:ascii="Calibri Light" w:hAnsi="Calibri Light" w:cs="Calibri Light"/>
        </w:rPr>
        <w:t xml:space="preserve">each respective ASC Topic within </w:t>
      </w:r>
      <w:r w:rsidR="003861EE" w:rsidRPr="00493116">
        <w:rPr>
          <w:rStyle w:val="documentlip1"/>
          <w:rFonts w:ascii="Calibri Light" w:hAnsi="Calibri Light" w:cs="Calibri Light"/>
        </w:rPr>
        <w:t xml:space="preserve">the </w:t>
      </w:r>
      <w:r w:rsidR="004F1F71" w:rsidRPr="00493116">
        <w:rPr>
          <w:rStyle w:val="documentlip1"/>
          <w:rFonts w:ascii="Calibri Light" w:hAnsi="Calibri Light" w:cs="Calibri Light"/>
        </w:rPr>
        <w:t>C</w:t>
      </w:r>
      <w:r w:rsidR="003861EE" w:rsidRPr="00493116">
        <w:rPr>
          <w:rStyle w:val="documentlip1"/>
          <w:rFonts w:ascii="Calibri Light" w:hAnsi="Calibri Light" w:cs="Calibri Light"/>
        </w:rPr>
        <w:t xml:space="preserve">odification can be viewed to determine </w:t>
      </w:r>
      <w:r w:rsidR="0053412C" w:rsidRPr="00493116">
        <w:rPr>
          <w:rStyle w:val="documentlip1"/>
          <w:rFonts w:ascii="Calibri Light" w:hAnsi="Calibri Light" w:cs="Calibri Light"/>
        </w:rPr>
        <w:t xml:space="preserve">if </w:t>
      </w:r>
      <w:r w:rsidR="003861EE" w:rsidRPr="00493116">
        <w:rPr>
          <w:rStyle w:val="documentlip1"/>
          <w:rFonts w:ascii="Calibri Light" w:hAnsi="Calibri Light" w:cs="Calibri Light"/>
        </w:rPr>
        <w:t xml:space="preserve">the </w:t>
      </w:r>
      <w:r w:rsidR="0053412C" w:rsidRPr="00493116">
        <w:rPr>
          <w:rStyle w:val="documentlip1"/>
          <w:rFonts w:ascii="Calibri Light" w:hAnsi="Calibri Light" w:cs="Calibri Light"/>
        </w:rPr>
        <w:t xml:space="preserve">guidance applies to the entity. </w:t>
      </w:r>
      <w:r w:rsidR="005D499F" w:rsidRPr="00493116">
        <w:rPr>
          <w:rStyle w:val="documentlip1"/>
          <w:rFonts w:ascii="Calibri Light" w:hAnsi="Calibri Light" w:cs="Calibri Light"/>
        </w:rPr>
        <w:t xml:space="preserve">The preparer may also consider </w:t>
      </w:r>
      <w:r w:rsidR="00E94996" w:rsidRPr="00493116">
        <w:rPr>
          <w:rStyle w:val="documentlip1"/>
          <w:rFonts w:ascii="Calibri Light" w:hAnsi="Calibri Light" w:cs="Calibri Light"/>
        </w:rPr>
        <w:t>S</w:t>
      </w:r>
      <w:r w:rsidR="005D499F" w:rsidRPr="00493116">
        <w:rPr>
          <w:rStyle w:val="documentlip1"/>
          <w:rFonts w:ascii="Calibri Light" w:hAnsi="Calibri Light" w:cs="Calibri Light"/>
        </w:rPr>
        <w:t>ection 55</w:t>
      </w:r>
      <w:r w:rsidR="00A105AC" w:rsidRPr="00493116">
        <w:rPr>
          <w:rStyle w:val="documentlip1"/>
          <w:rFonts w:ascii="Calibri Light" w:hAnsi="Calibri Light" w:cs="Calibri Light"/>
        </w:rPr>
        <w:t xml:space="preserve"> </w:t>
      </w:r>
      <w:r w:rsidR="004F1F71" w:rsidRPr="00493116">
        <w:rPr>
          <w:rStyle w:val="documentlip1"/>
          <w:rFonts w:ascii="Calibri Light" w:hAnsi="Calibri Light" w:cs="Calibri Light"/>
        </w:rPr>
        <w:t xml:space="preserve">of </w:t>
      </w:r>
      <w:r w:rsidR="00293EA9" w:rsidRPr="00493116">
        <w:rPr>
          <w:rStyle w:val="documentlip1"/>
          <w:rFonts w:ascii="Calibri Light" w:hAnsi="Calibri Light" w:cs="Calibri Light"/>
        </w:rPr>
        <w:t xml:space="preserve">each respective ASC Topic within </w:t>
      </w:r>
      <w:r w:rsidR="004F1F71" w:rsidRPr="00493116">
        <w:rPr>
          <w:rStyle w:val="documentlip1"/>
          <w:rFonts w:ascii="Calibri Light" w:hAnsi="Calibri Light" w:cs="Calibri Light"/>
        </w:rPr>
        <w:t xml:space="preserve">the Codification </w:t>
      </w:r>
      <w:r w:rsidR="00A105AC" w:rsidRPr="00493116">
        <w:rPr>
          <w:rStyle w:val="documentlip1"/>
          <w:rFonts w:ascii="Calibri Light" w:hAnsi="Calibri Light" w:cs="Calibri Light"/>
        </w:rPr>
        <w:t>for implementation guidance and illustrations.</w:t>
      </w:r>
    </w:p>
    <w:p w14:paraId="7C40C4D5" w14:textId="24A48EB5" w:rsidR="00405A9C" w:rsidRPr="00493116" w:rsidRDefault="005C729F" w:rsidP="00C72910">
      <w:pPr>
        <w:rPr>
          <w:rStyle w:val="pdocumentul1"/>
          <w:rFonts w:ascii="Calibri Light" w:hAnsi="Calibri Light" w:cs="Calibri Light"/>
        </w:rPr>
      </w:pPr>
      <w:r w:rsidRPr="00493116">
        <w:rPr>
          <w:rStyle w:val="pdocumentul1"/>
          <w:rFonts w:ascii="Calibri Light" w:hAnsi="Calibri Light" w:cs="Calibri Light"/>
        </w:rPr>
        <w:t xml:space="preserve">Once the </w:t>
      </w:r>
      <w:r w:rsidR="002316CC" w:rsidRPr="00493116">
        <w:rPr>
          <w:rStyle w:val="pdocumentul1"/>
          <w:rFonts w:ascii="Calibri Light" w:hAnsi="Calibri Light" w:cs="Calibri Light"/>
        </w:rPr>
        <w:t xml:space="preserve">initiation and </w:t>
      </w:r>
      <w:r w:rsidR="00920EF7" w:rsidRPr="00493116">
        <w:rPr>
          <w:rStyle w:val="pdocumentul1"/>
          <w:rFonts w:ascii="Calibri Light" w:hAnsi="Calibri Light" w:cs="Calibri Light"/>
        </w:rPr>
        <w:t xml:space="preserve">framing </w:t>
      </w:r>
      <w:r w:rsidR="00A06591" w:rsidRPr="00493116">
        <w:rPr>
          <w:rStyle w:val="pdocumentul1"/>
          <w:rFonts w:ascii="Calibri Light" w:hAnsi="Calibri Light" w:cs="Calibri Light"/>
        </w:rPr>
        <w:t>are</w:t>
      </w:r>
      <w:r w:rsidRPr="00493116">
        <w:rPr>
          <w:rStyle w:val="pdocumentul1"/>
          <w:rFonts w:ascii="Calibri Light" w:hAnsi="Calibri Light" w:cs="Calibri Light"/>
        </w:rPr>
        <w:t xml:space="preserve"> complete, </w:t>
      </w:r>
      <w:r w:rsidR="000F1DC5" w:rsidRPr="00493116">
        <w:rPr>
          <w:rStyle w:val="pdocumentul1"/>
          <w:rFonts w:ascii="Calibri Light" w:hAnsi="Calibri Light" w:cs="Calibri Light"/>
        </w:rPr>
        <w:t>the</w:t>
      </w:r>
      <w:r w:rsidRPr="00493116">
        <w:rPr>
          <w:rStyle w:val="pdocumentul1"/>
          <w:rFonts w:ascii="Calibri Light" w:hAnsi="Calibri Light" w:cs="Calibri Light"/>
        </w:rPr>
        <w:t xml:space="preserve"> new </w:t>
      </w:r>
      <w:r w:rsidR="002316CC" w:rsidRPr="00493116">
        <w:rPr>
          <w:rStyle w:val="pdocumentul1"/>
          <w:rFonts w:ascii="Calibri Light" w:hAnsi="Calibri Light" w:cs="Calibri Light"/>
        </w:rPr>
        <w:t xml:space="preserve">supplemental </w:t>
      </w:r>
      <w:r w:rsidRPr="00493116">
        <w:rPr>
          <w:rStyle w:val="pdocumentul1"/>
          <w:rFonts w:ascii="Calibri Light" w:hAnsi="Calibri Light" w:cs="Calibri Light"/>
        </w:rPr>
        <w:t xml:space="preserve">checklist will include </w:t>
      </w:r>
      <w:r w:rsidR="00A94FCF" w:rsidRPr="00493116">
        <w:rPr>
          <w:rStyle w:val="pdocumentul1"/>
          <w:rFonts w:ascii="Calibri Light" w:hAnsi="Calibri Light" w:cs="Calibri Light"/>
        </w:rPr>
        <w:t xml:space="preserve">only </w:t>
      </w:r>
      <w:r w:rsidRPr="00493116">
        <w:rPr>
          <w:rStyle w:val="pdocumentul1"/>
          <w:rFonts w:ascii="Calibri Light" w:hAnsi="Calibri Light" w:cs="Calibri Light"/>
        </w:rPr>
        <w:t>questions related to the</w:t>
      </w:r>
      <w:r w:rsidR="00BE7766" w:rsidRPr="00493116">
        <w:rPr>
          <w:rStyle w:val="pdocumentul1"/>
          <w:rFonts w:ascii="Calibri Light" w:hAnsi="Calibri Light" w:cs="Calibri Light"/>
        </w:rPr>
        <w:t xml:space="preserve"> updated</w:t>
      </w:r>
      <w:r w:rsidRPr="00493116">
        <w:rPr>
          <w:rStyle w:val="pdocumentul1"/>
          <w:rFonts w:ascii="Calibri Light" w:hAnsi="Calibri Light" w:cs="Calibri Light"/>
        </w:rPr>
        <w:t xml:space="preserve"> guidance that was scoped into that checklist.</w:t>
      </w:r>
      <w:r w:rsidR="00900BC5" w:rsidRPr="00493116">
        <w:rPr>
          <w:rStyle w:val="pdocumentul1"/>
          <w:rFonts w:ascii="Calibri Light" w:hAnsi="Calibri Light" w:cs="Calibri Light"/>
        </w:rPr>
        <w:t xml:space="preserve"> </w:t>
      </w:r>
      <w:r w:rsidR="000160D7" w:rsidRPr="00493116">
        <w:rPr>
          <w:rStyle w:val="pdocumentul1"/>
          <w:rFonts w:ascii="Calibri Light" w:hAnsi="Calibri Light" w:cs="Calibri Light"/>
        </w:rPr>
        <w:t>For users of the U.S. GAAP Checklist that have yet to initiate a checklist prior to this update,</w:t>
      </w:r>
      <w:r w:rsidR="001F58F2" w:rsidRPr="00493116">
        <w:rPr>
          <w:rStyle w:val="pdocumentul1"/>
          <w:rFonts w:ascii="Calibri Light" w:hAnsi="Calibri Light" w:cs="Calibri Light"/>
        </w:rPr>
        <w:t xml:space="preserve"> the update to the Codification will be automatically incorporate</w:t>
      </w:r>
      <w:r w:rsidR="001562DA" w:rsidRPr="00493116">
        <w:rPr>
          <w:rStyle w:val="pdocumentul1"/>
          <w:rFonts w:ascii="Calibri Light" w:hAnsi="Calibri Light" w:cs="Calibri Light"/>
        </w:rPr>
        <w:t>d</w:t>
      </w:r>
      <w:r w:rsidR="001F58F2" w:rsidRPr="00493116">
        <w:rPr>
          <w:rStyle w:val="pdocumentul1"/>
          <w:rFonts w:ascii="Calibri Light" w:hAnsi="Calibri Light" w:cs="Calibri Light"/>
        </w:rPr>
        <w:t xml:space="preserve"> into the newly initiated checklist.</w:t>
      </w:r>
    </w:p>
    <w:p w14:paraId="54F63168" w14:textId="305CDFB1" w:rsidR="00405A9C" w:rsidRPr="00493116" w:rsidRDefault="00405A9C" w:rsidP="00C72910">
      <w:pPr>
        <w:rPr>
          <w:rStyle w:val="pdocumentul1"/>
          <w:rFonts w:ascii="Calibri Light" w:hAnsi="Calibri Light" w:cs="Calibri Light"/>
        </w:rPr>
      </w:pPr>
      <w:r w:rsidRPr="00493116">
        <w:rPr>
          <w:rStyle w:val="pdocumentul1"/>
          <w:rFonts w:ascii="Calibri Light" w:hAnsi="Calibri Light" w:cs="Calibri Light"/>
        </w:rPr>
        <w:t xml:space="preserve">See the </w:t>
      </w:r>
      <w:hyperlink r:id="rId10" w:history="1">
        <w:r w:rsidRPr="00493116">
          <w:rPr>
            <w:rStyle w:val="Hyperlink"/>
            <w:rFonts w:ascii="Calibri Light" w:eastAsia="Verdana" w:hAnsi="Calibri Light" w:cs="Calibri Light"/>
            <w:i/>
          </w:rPr>
          <w:t>Quick Reference Guide</w:t>
        </w:r>
      </w:hyperlink>
      <w:r w:rsidRPr="00493116">
        <w:rPr>
          <w:rStyle w:val="pdocumentul1"/>
          <w:rFonts w:ascii="Calibri Light" w:hAnsi="Calibri Light" w:cs="Calibri Light"/>
        </w:rPr>
        <w:t xml:space="preserve"> for guidance on the Checklist offered through </w:t>
      </w:r>
      <w:r w:rsidR="00D21A76" w:rsidRPr="00493116">
        <w:rPr>
          <w:rStyle w:val="pdocumentul1"/>
          <w:rFonts w:ascii="Calibri Light" w:hAnsi="Calibri Light" w:cs="Calibri Light"/>
        </w:rPr>
        <w:t xml:space="preserve">the </w:t>
      </w:r>
      <w:r w:rsidRPr="00493116">
        <w:rPr>
          <w:rStyle w:val="pdocumentul1"/>
          <w:rFonts w:ascii="Calibri Light" w:hAnsi="Calibri Light" w:cs="Calibri Light"/>
        </w:rPr>
        <w:t>Disclosure Analytics</w:t>
      </w:r>
      <w:r w:rsidR="00D21A76" w:rsidRPr="00493116">
        <w:rPr>
          <w:rStyle w:val="pdocumentul1"/>
          <w:rFonts w:ascii="Calibri Light" w:hAnsi="Calibri Light" w:cs="Calibri Light"/>
        </w:rPr>
        <w:t xml:space="preserve"> suite</w:t>
      </w:r>
      <w:r w:rsidRPr="00493116">
        <w:rPr>
          <w:rStyle w:val="pdocumentul1"/>
          <w:rFonts w:ascii="Calibri Light" w:hAnsi="Calibri Light" w:cs="Calibri Light"/>
        </w:rPr>
        <w:t>.</w:t>
      </w:r>
    </w:p>
    <w:p w14:paraId="7BA6DC41" w14:textId="77777777" w:rsidR="0029581F" w:rsidRDefault="0029581F">
      <w:pPr>
        <w:widowControl/>
        <w:autoSpaceDE/>
        <w:autoSpaceDN/>
        <w:spacing w:after="0" w:line="240" w:lineRule="auto"/>
        <w:rPr>
          <w:rFonts w:ascii="Calibri Light" w:hAnsi="Calibri Light" w:cs="Calibri Light"/>
        </w:rPr>
      </w:pPr>
      <w:r>
        <w:rPr>
          <w:rFonts w:ascii="Calibri Light" w:hAnsi="Calibri Light" w:cs="Calibri Light"/>
        </w:rPr>
        <w:br w:type="page"/>
      </w:r>
    </w:p>
    <w:p w14:paraId="4BDC9484" w14:textId="3E642A65" w:rsidR="00CF2715" w:rsidRPr="00F176F9" w:rsidRDefault="00C72910" w:rsidP="00C72910">
      <w:pPr>
        <w:pStyle w:val="PAH2"/>
        <w:outlineLvl w:val="0"/>
        <w:rPr>
          <w:rFonts w:ascii="Calibri Light" w:hAnsi="Calibri Light" w:cs="Calibri Light"/>
          <w:b/>
          <w:bCs w:val="0"/>
          <w:i w:val="0"/>
          <w:color w:val="auto"/>
        </w:rPr>
      </w:pPr>
      <w:r w:rsidRPr="00F176F9">
        <w:rPr>
          <w:rFonts w:ascii="Calibri Light" w:hAnsi="Calibri Light" w:cs="Calibri Light"/>
          <w:b/>
          <w:bCs w:val="0"/>
          <w:i w:val="0"/>
          <w:color w:val="auto"/>
        </w:rPr>
        <w:lastRenderedPageBreak/>
        <w:t>ACCOUNTING GUIDANCE ISSUED DURING THE QUARTER</w:t>
      </w:r>
    </w:p>
    <w:p w14:paraId="69F5E6F3" w14:textId="5AAEE7D8" w:rsidR="00021275" w:rsidRPr="00493116" w:rsidRDefault="00167383" w:rsidP="00C72910">
      <w:pPr>
        <w:rPr>
          <w:rStyle w:val="documentlip1"/>
          <w:rFonts w:ascii="Calibri Light" w:hAnsi="Calibri Light" w:cs="Calibri Light"/>
          <w:szCs w:val="22"/>
        </w:rPr>
      </w:pPr>
      <w:r w:rsidRPr="00493116">
        <w:rPr>
          <w:rStyle w:val="documentlip1"/>
          <w:rFonts w:ascii="Calibri Light" w:hAnsi="Calibri Light" w:cs="Calibri Light"/>
          <w:szCs w:val="22"/>
        </w:rPr>
        <w:t>Th</w:t>
      </w:r>
      <w:r w:rsidR="00F06EF0" w:rsidRPr="00493116">
        <w:rPr>
          <w:rStyle w:val="documentlip1"/>
          <w:rFonts w:ascii="Calibri Light" w:hAnsi="Calibri Light" w:cs="Calibri Light"/>
          <w:szCs w:val="22"/>
        </w:rPr>
        <w:t xml:space="preserve">ere </w:t>
      </w:r>
      <w:r w:rsidR="00F747FA">
        <w:rPr>
          <w:rStyle w:val="documentlip1"/>
          <w:rFonts w:ascii="Calibri Light" w:hAnsi="Calibri Light" w:cs="Calibri Light"/>
          <w:szCs w:val="22"/>
        </w:rPr>
        <w:t>were</w:t>
      </w:r>
      <w:r w:rsidR="006F5277">
        <w:rPr>
          <w:rStyle w:val="documentlip1"/>
          <w:rFonts w:ascii="Calibri Light" w:hAnsi="Calibri Light" w:cs="Calibri Light"/>
          <w:szCs w:val="22"/>
        </w:rPr>
        <w:t xml:space="preserve"> </w:t>
      </w:r>
      <w:r w:rsidR="00F747FA">
        <w:rPr>
          <w:rStyle w:val="documentlip1"/>
          <w:rFonts w:ascii="Calibri Light" w:hAnsi="Calibri Light" w:cs="Calibri Light"/>
          <w:szCs w:val="22"/>
        </w:rPr>
        <w:t>two</w:t>
      </w:r>
      <w:r w:rsidR="006F5277" w:rsidRPr="00493116">
        <w:rPr>
          <w:rStyle w:val="documentlip1"/>
          <w:rFonts w:ascii="Calibri Light" w:hAnsi="Calibri Light" w:cs="Calibri Light"/>
          <w:szCs w:val="22"/>
        </w:rPr>
        <w:t xml:space="preserve"> </w:t>
      </w:r>
      <w:r w:rsidR="00F711AC" w:rsidRPr="00493116">
        <w:rPr>
          <w:rStyle w:val="documentlip1"/>
          <w:rFonts w:ascii="Calibri Light" w:hAnsi="Calibri Light" w:cs="Calibri Light"/>
          <w:szCs w:val="22"/>
        </w:rPr>
        <w:t>ASU</w:t>
      </w:r>
      <w:r w:rsidR="00BC5764">
        <w:rPr>
          <w:rStyle w:val="documentlip1"/>
          <w:rFonts w:ascii="Calibri Light" w:hAnsi="Calibri Light" w:cs="Calibri Light"/>
          <w:szCs w:val="22"/>
        </w:rPr>
        <w:t>s</w:t>
      </w:r>
      <w:r w:rsidR="00F711AC" w:rsidRPr="00493116">
        <w:rPr>
          <w:rStyle w:val="documentlip1"/>
          <w:rFonts w:ascii="Calibri Light" w:hAnsi="Calibri Light" w:cs="Calibri Light"/>
          <w:szCs w:val="22"/>
        </w:rPr>
        <w:t xml:space="preserve"> issued by the FASB</w:t>
      </w:r>
      <w:r w:rsidRPr="00493116">
        <w:rPr>
          <w:rStyle w:val="documentlip1"/>
          <w:rFonts w:ascii="Calibri Light" w:hAnsi="Calibri Light" w:cs="Calibri Light"/>
          <w:szCs w:val="22"/>
        </w:rPr>
        <w:t xml:space="preserve"> </w:t>
      </w:r>
      <w:r w:rsidR="00DA0372">
        <w:rPr>
          <w:rStyle w:val="documentlip1"/>
          <w:rFonts w:ascii="Calibri Light" w:hAnsi="Calibri Light" w:cs="Calibri Light"/>
          <w:szCs w:val="22"/>
        </w:rPr>
        <w:t>(the “Board”)</w:t>
      </w:r>
      <w:r w:rsidRPr="00493116">
        <w:rPr>
          <w:rStyle w:val="documentlip1"/>
          <w:rFonts w:ascii="Calibri Light" w:hAnsi="Calibri Light" w:cs="Calibri Light"/>
          <w:szCs w:val="22"/>
        </w:rPr>
        <w:t xml:space="preserve"> </w:t>
      </w:r>
      <w:r w:rsidR="002C057F" w:rsidRPr="00493116">
        <w:rPr>
          <w:rStyle w:val="documentlip1"/>
          <w:rFonts w:ascii="Calibri Light" w:hAnsi="Calibri Light" w:cs="Calibri Light"/>
          <w:szCs w:val="22"/>
        </w:rPr>
        <w:t xml:space="preserve">during the </w:t>
      </w:r>
      <w:r w:rsidR="00330430" w:rsidRPr="00493116">
        <w:rPr>
          <w:rStyle w:val="documentlip1"/>
          <w:rFonts w:ascii="Calibri Light" w:hAnsi="Calibri Light" w:cs="Calibri Light"/>
          <w:szCs w:val="22"/>
        </w:rPr>
        <w:t>three-month</w:t>
      </w:r>
      <w:r w:rsidR="002C057F" w:rsidRPr="00493116">
        <w:rPr>
          <w:rStyle w:val="documentlip1"/>
          <w:rFonts w:ascii="Calibri Light" w:hAnsi="Calibri Light" w:cs="Calibri Light"/>
          <w:szCs w:val="22"/>
        </w:rPr>
        <w:t xml:space="preserve"> period ending </w:t>
      </w:r>
      <w:r w:rsidR="006F5277">
        <w:rPr>
          <w:rStyle w:val="documentlip1"/>
          <w:rFonts w:ascii="Calibri Light" w:hAnsi="Calibri Light" w:cs="Calibri Light"/>
          <w:szCs w:val="22"/>
        </w:rPr>
        <w:t>March</w:t>
      </w:r>
      <w:r w:rsidR="006F5277" w:rsidRPr="00493116">
        <w:rPr>
          <w:rStyle w:val="documentlip1"/>
          <w:rFonts w:ascii="Calibri Light" w:hAnsi="Calibri Light" w:cs="Calibri Light"/>
          <w:szCs w:val="22"/>
        </w:rPr>
        <w:t xml:space="preserve"> </w:t>
      </w:r>
      <w:r w:rsidR="00FB749F" w:rsidRPr="00493116">
        <w:rPr>
          <w:rStyle w:val="documentlip1"/>
          <w:rFonts w:ascii="Calibri Light" w:hAnsi="Calibri Light" w:cs="Calibri Light"/>
          <w:szCs w:val="22"/>
        </w:rPr>
        <w:t>3</w:t>
      </w:r>
      <w:r w:rsidR="00CD5740">
        <w:rPr>
          <w:rStyle w:val="documentlip1"/>
          <w:rFonts w:ascii="Calibri Light" w:hAnsi="Calibri Light" w:cs="Calibri Light"/>
          <w:szCs w:val="22"/>
        </w:rPr>
        <w:t>1</w:t>
      </w:r>
      <w:r w:rsidR="001404F7" w:rsidRPr="00493116">
        <w:rPr>
          <w:rStyle w:val="documentlip1"/>
          <w:rFonts w:ascii="Calibri Light" w:hAnsi="Calibri Light" w:cs="Calibri Light"/>
          <w:szCs w:val="22"/>
        </w:rPr>
        <w:t xml:space="preserve">, </w:t>
      </w:r>
      <w:r w:rsidR="006F5277" w:rsidRPr="00493116">
        <w:rPr>
          <w:rStyle w:val="documentlip1"/>
          <w:rFonts w:ascii="Calibri Light" w:hAnsi="Calibri Light" w:cs="Calibri Light"/>
          <w:szCs w:val="22"/>
        </w:rPr>
        <w:t>202</w:t>
      </w:r>
      <w:r w:rsidR="006F5277">
        <w:rPr>
          <w:rStyle w:val="documentlip1"/>
          <w:rFonts w:ascii="Calibri Light" w:hAnsi="Calibri Light" w:cs="Calibri Light"/>
          <w:szCs w:val="22"/>
        </w:rPr>
        <w:t>2</w:t>
      </w:r>
      <w:r w:rsidR="00BE0A54" w:rsidRPr="00493116">
        <w:rPr>
          <w:rStyle w:val="documentlip1"/>
          <w:rFonts w:ascii="Calibri Light" w:hAnsi="Calibri Light" w:cs="Calibri Light"/>
          <w:szCs w:val="22"/>
        </w:rPr>
        <w:t>:</w:t>
      </w:r>
    </w:p>
    <w:bookmarkStart w:id="3" w:name="_Hlk524502021"/>
    <w:p w14:paraId="355687B8" w14:textId="53114E26" w:rsidR="00F00367" w:rsidRPr="00297FCB" w:rsidRDefault="006F5277" w:rsidP="0067356F">
      <w:pPr>
        <w:pStyle w:val="PABulletLink75IND"/>
        <w:numPr>
          <w:ilvl w:val="0"/>
          <w:numId w:val="10"/>
        </w:numPr>
        <w:spacing w:before="0" w:after="240"/>
        <w:ind w:left="270" w:hanging="270"/>
        <w:rPr>
          <w:rStyle w:val="Hyperlink"/>
          <w:rFonts w:ascii="Calibri Light" w:hAnsi="Calibri Light" w:cs="Calibri Light"/>
          <w:b/>
          <w:iCs/>
        </w:rPr>
      </w:pPr>
      <w:r>
        <w:rPr>
          <w:rStyle w:val="Hyperlink"/>
          <w:rFonts w:ascii="Calibri Light" w:hAnsi="Calibri Light" w:cs="Calibri Light"/>
          <w:b/>
          <w:iCs/>
        </w:rPr>
        <w:fldChar w:fldCharType="begin"/>
      </w:r>
      <w:r w:rsidR="00130C91">
        <w:rPr>
          <w:rStyle w:val="Hyperlink"/>
          <w:rFonts w:ascii="Calibri Light" w:hAnsi="Calibri Light" w:cs="Calibri Light"/>
          <w:b/>
          <w:iCs/>
        </w:rPr>
        <w:instrText>HYPERLINK "https://techlib.deloitteresources.com/?link=content/2_620390"</w:instrText>
      </w:r>
      <w:r>
        <w:rPr>
          <w:rStyle w:val="Hyperlink"/>
          <w:rFonts w:ascii="Calibri Light" w:hAnsi="Calibri Light" w:cs="Calibri Light"/>
          <w:b/>
          <w:iCs/>
        </w:rPr>
        <w:fldChar w:fldCharType="separate"/>
      </w:r>
      <w:r w:rsidRPr="006F5277">
        <w:rPr>
          <w:rStyle w:val="Hyperlink"/>
          <w:rFonts w:ascii="Calibri Light" w:hAnsi="Calibri Light" w:cs="Calibri Light"/>
          <w:b/>
          <w:iCs/>
        </w:rPr>
        <w:t xml:space="preserve">2022-01 — </w:t>
      </w:r>
      <w:r w:rsidRPr="006F5277">
        <w:rPr>
          <w:rStyle w:val="Hyperlink"/>
          <w:rFonts w:ascii="Calibri Light" w:hAnsi="Calibri Light" w:cs="Calibri Light"/>
          <w:b/>
          <w:i/>
        </w:rPr>
        <w:t>Derivatives and Hedging (Topic 815): Fair Value Hedging</w:t>
      </w:r>
      <w:r w:rsidR="00130C91">
        <w:rPr>
          <w:rStyle w:val="Hyperlink"/>
          <w:rFonts w:ascii="Calibri Light" w:hAnsi="Calibri Light" w:cs="Calibri Light"/>
          <w:b/>
          <w:i/>
        </w:rPr>
        <w:t xml:space="preserve"> </w:t>
      </w:r>
      <w:r w:rsidRPr="006F5277">
        <w:rPr>
          <w:rStyle w:val="Hyperlink"/>
          <w:rFonts w:ascii="Calibri Light" w:hAnsi="Calibri Light" w:cs="Calibri Light"/>
          <w:b/>
          <w:i/>
        </w:rPr>
        <w:t>—</w:t>
      </w:r>
      <w:r w:rsidR="00130C91">
        <w:rPr>
          <w:rStyle w:val="Hyperlink"/>
          <w:rFonts w:ascii="Calibri Light" w:hAnsi="Calibri Light" w:cs="Calibri Light"/>
          <w:b/>
          <w:i/>
        </w:rPr>
        <w:t xml:space="preserve"> </w:t>
      </w:r>
      <w:r w:rsidRPr="006F5277">
        <w:rPr>
          <w:rStyle w:val="Hyperlink"/>
          <w:rFonts w:ascii="Calibri Light" w:hAnsi="Calibri Light" w:cs="Calibri Light"/>
          <w:b/>
          <w:i/>
        </w:rPr>
        <w:t>Portfolio Layer Method</w:t>
      </w:r>
      <w:r>
        <w:rPr>
          <w:rStyle w:val="Hyperlink"/>
          <w:rFonts w:ascii="Calibri Light" w:hAnsi="Calibri Light" w:cs="Calibri Light"/>
          <w:b/>
          <w:iCs/>
        </w:rPr>
        <w:fldChar w:fldCharType="end"/>
      </w:r>
    </w:p>
    <w:p w14:paraId="68E46327" w14:textId="12919F81" w:rsidR="00210DFE" w:rsidRPr="00210DFE" w:rsidRDefault="00210DFE" w:rsidP="00210DFE">
      <w:pPr>
        <w:rPr>
          <w:rFonts w:ascii="Calibri Light" w:hAnsi="Calibri Light" w:cs="Calibri Light"/>
        </w:rPr>
      </w:pPr>
      <w:r w:rsidRPr="00210DFE">
        <w:rPr>
          <w:rFonts w:ascii="Calibri Light" w:hAnsi="Calibri Light" w:cs="Calibri Light"/>
        </w:rPr>
        <w:t>On March 28, 2022, the FASB issued ASU 2022-01, which clarifies the guidance in ASC 815 on fair value hedge accounting of interest rate risk for portfolios of financial assets.</w:t>
      </w:r>
      <w:r>
        <w:rPr>
          <w:rFonts w:ascii="Calibri Light" w:hAnsi="Calibri Light" w:cs="Calibri Light"/>
        </w:rPr>
        <w:t xml:space="preserve"> </w:t>
      </w:r>
      <w:r w:rsidRPr="00210DFE">
        <w:rPr>
          <w:rFonts w:ascii="Calibri Light" w:hAnsi="Calibri Light" w:cs="Calibri Light"/>
        </w:rPr>
        <w:t>The ASU amends the guidance in ASU 2017-12 (released on August 28, 2017) that, among other things, established the “last-of-layer” method for making the fair value hedge accounting for these portfolios more accessible. ASU 2022-01 renames that method the “portfolio layer” method and addresses feedback from stakeholders regarding its application.</w:t>
      </w:r>
    </w:p>
    <w:p w14:paraId="7CE759D6" w14:textId="4463F4E1" w:rsidR="00C1155C" w:rsidRDefault="004A48A8" w:rsidP="00210DFE">
      <w:pPr>
        <w:rPr>
          <w:rFonts w:ascii="Calibri Light" w:hAnsi="Calibri Light" w:cs="Calibri Light"/>
        </w:rPr>
      </w:pPr>
      <w:r w:rsidRPr="004A48A8">
        <w:rPr>
          <w:rFonts w:ascii="Calibri Light" w:hAnsi="Calibri Light" w:cs="Calibri Light"/>
        </w:rPr>
        <w:t>Under current guidance, the last-of-layer method enables an entity to apply fair value hedging to a stated amount of a closed portfolio of prepayable financial assets (or one or more beneficial interests secured by a portfolio of prepayable financial instruments) without having to consider prepayment risk or credit risk when measuring those assets. ASU 2022-01 expands the scope of this guidance to allow entities to apply the portfolio layer method to portfolios of all financial assets, including both prepayable and nonprepayable financial assets. This scope expansion is consistent with the FASB’s efforts to simplify hedge accounting and allows entities to apply the same method to similar hedging strategies.</w:t>
      </w:r>
    </w:p>
    <w:p w14:paraId="599C5079" w14:textId="77777777" w:rsidR="00210DFE" w:rsidRPr="00210DFE" w:rsidRDefault="00210DFE" w:rsidP="00210DFE">
      <w:pPr>
        <w:rPr>
          <w:rFonts w:ascii="Calibri Light" w:hAnsi="Calibri Light" w:cs="Calibri Light"/>
        </w:rPr>
      </w:pPr>
      <w:r w:rsidRPr="00210DFE">
        <w:rPr>
          <w:rFonts w:ascii="Calibri Light" w:hAnsi="Calibri Light" w:cs="Calibri Light"/>
        </w:rPr>
        <w:t>ASU 2022-01’s amendments are effective as follows:</w:t>
      </w:r>
    </w:p>
    <w:p w14:paraId="5CC822B9" w14:textId="77777777" w:rsidR="00210DFE" w:rsidRPr="00CA58D9" w:rsidRDefault="00210DFE" w:rsidP="00CA58D9">
      <w:pPr>
        <w:pStyle w:val="ListParagraph"/>
        <w:numPr>
          <w:ilvl w:val="0"/>
          <w:numId w:val="36"/>
        </w:numPr>
      </w:pPr>
      <w:r w:rsidRPr="00CA58D9">
        <w:t>For public business entities, fiscal years beginning after December 15, 2022, and interim periods within those fiscal years.</w:t>
      </w:r>
    </w:p>
    <w:p w14:paraId="04E8FB36" w14:textId="77777777" w:rsidR="00210DFE" w:rsidRPr="00CA58D9" w:rsidRDefault="00210DFE" w:rsidP="00CA58D9">
      <w:pPr>
        <w:pStyle w:val="ListParagraph"/>
        <w:numPr>
          <w:ilvl w:val="0"/>
          <w:numId w:val="36"/>
        </w:numPr>
      </w:pPr>
      <w:r w:rsidRPr="00CA58D9">
        <w:t>For all other entities, fiscal years beginning after December 15, 2023, and interim periods within those fiscal years.</w:t>
      </w:r>
    </w:p>
    <w:p w14:paraId="7EB74939" w14:textId="51301B64" w:rsidR="00210DFE" w:rsidRDefault="00210DFE" w:rsidP="00210DFE">
      <w:pPr>
        <w:rPr>
          <w:rFonts w:ascii="Calibri Light" w:hAnsi="Calibri Light" w:cs="Calibri Light"/>
        </w:rPr>
      </w:pPr>
      <w:r w:rsidRPr="00210DFE">
        <w:rPr>
          <w:rFonts w:ascii="Calibri Light" w:hAnsi="Calibri Light" w:cs="Calibri Light"/>
        </w:rPr>
        <w:t>The guidance may be early adopted if an entity has adopted ASU 2017-12 for the corresponding period.</w:t>
      </w:r>
    </w:p>
    <w:p w14:paraId="2B5EAE59" w14:textId="77777777" w:rsidR="00CA58D9" w:rsidRPr="00CA58D9" w:rsidRDefault="00CA58D9" w:rsidP="00CA58D9">
      <w:pPr>
        <w:rPr>
          <w:rFonts w:ascii="Calibri Light" w:hAnsi="Calibri Light" w:cs="Calibri Light"/>
        </w:rPr>
      </w:pPr>
      <w:r w:rsidRPr="00CA58D9">
        <w:rPr>
          <w:rFonts w:ascii="Calibri Light" w:hAnsi="Calibri Light" w:cs="Calibri Light"/>
        </w:rPr>
        <w:t>An entity that elects a multiple-layer hedging strategy should apply ASU 2022-01’s requirements prospectively. Further, aside from the disclosure requirements in other areas of GAAP, an entity should apply the amendments related to the fair value hedge basis adjustments under the portfolio layer method on a modified retrospective basis by making a cumulative-effect adjustment to the opening balance of retained earnings. An entity may choose to apply the other GAAP disclosure requirements prospectively or retrospectively.</w:t>
      </w:r>
    </w:p>
    <w:p w14:paraId="3D97B9FF" w14:textId="6A53523D" w:rsidR="00CA58D9" w:rsidRDefault="00CA58D9" w:rsidP="00CA58D9">
      <w:pPr>
        <w:rPr>
          <w:rFonts w:ascii="Calibri Light" w:hAnsi="Calibri Light" w:cs="Calibri Light"/>
        </w:rPr>
      </w:pPr>
      <w:r w:rsidRPr="00CA58D9">
        <w:rPr>
          <w:rFonts w:ascii="Calibri Light" w:hAnsi="Calibri Light" w:cs="Calibri Light"/>
        </w:rPr>
        <w:t>In addition, as of the adoption date, an entity may reclassify debt securities that qualify as being in a portfolio layer hedging relationship from the held-to-maturity category to the available-for-sale category if the entity intends to include those securities in a portfolio designated in a portfolio layer method hedge. An entity must determine which securities to reclassify within 30 days of the adoption date of the ASU and must include those reclassified securities within a portfolio layer method hedging relationship within those 30 days.</w:t>
      </w:r>
    </w:p>
    <w:p w14:paraId="294A4FAD" w14:textId="0DB11AF0" w:rsidR="00DE6BE9" w:rsidRDefault="009807EB" w:rsidP="00DE6BE9">
      <w:pPr>
        <w:rPr>
          <w:rFonts w:ascii="Calibri Light" w:hAnsi="Calibri Light" w:cs="Calibri Light"/>
        </w:rPr>
      </w:pPr>
      <w:r w:rsidRPr="00493116">
        <w:rPr>
          <w:rFonts w:ascii="Calibri Light" w:hAnsi="Calibri Light" w:cs="Calibri Light"/>
        </w:rPr>
        <w:t xml:space="preserve">See Deloitte’s </w:t>
      </w:r>
      <w:r w:rsidR="006F5277">
        <w:rPr>
          <w:rFonts w:ascii="Calibri Light" w:hAnsi="Calibri Light" w:cs="Calibri Light"/>
        </w:rPr>
        <w:t>March</w:t>
      </w:r>
      <w:r w:rsidRPr="00493116">
        <w:rPr>
          <w:rFonts w:ascii="Calibri Light" w:hAnsi="Calibri Light" w:cs="Calibri Light"/>
        </w:rPr>
        <w:t xml:space="preserve"> </w:t>
      </w:r>
      <w:r>
        <w:rPr>
          <w:rFonts w:ascii="Calibri Light" w:hAnsi="Calibri Light" w:cs="Calibri Light"/>
        </w:rPr>
        <w:t>2</w:t>
      </w:r>
      <w:r w:rsidR="006F5277">
        <w:rPr>
          <w:rFonts w:ascii="Calibri Light" w:hAnsi="Calibri Light" w:cs="Calibri Light"/>
        </w:rPr>
        <w:t>9</w:t>
      </w:r>
      <w:r w:rsidRPr="00493116">
        <w:rPr>
          <w:rFonts w:ascii="Calibri Light" w:hAnsi="Calibri Light" w:cs="Calibri Light"/>
        </w:rPr>
        <w:t>, 202</w:t>
      </w:r>
      <w:r w:rsidR="006F5277">
        <w:rPr>
          <w:rFonts w:ascii="Calibri Light" w:hAnsi="Calibri Light" w:cs="Calibri Light"/>
        </w:rPr>
        <w:t>2</w:t>
      </w:r>
      <w:r>
        <w:rPr>
          <w:rFonts w:ascii="Calibri Light" w:hAnsi="Calibri Light" w:cs="Calibri Light"/>
        </w:rPr>
        <w:t>,</w:t>
      </w:r>
      <w:r w:rsidRPr="00493116">
        <w:rPr>
          <w:rFonts w:ascii="Calibri Light" w:hAnsi="Calibri Light" w:cs="Calibri Light"/>
        </w:rPr>
        <w:t xml:space="preserve"> </w:t>
      </w:r>
      <w:hyperlink r:id="rId11" w:history="1">
        <w:r w:rsidRPr="006F5277">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sidR="00CA5597">
        <w:rPr>
          <w:rFonts w:ascii="Calibri Light" w:hAnsi="Calibri Light" w:cs="Calibri Light"/>
        </w:rPr>
        <w:t>made by</w:t>
      </w:r>
      <w:r w:rsidRPr="00493116">
        <w:rPr>
          <w:rFonts w:ascii="Calibri Light" w:hAnsi="Calibri Light" w:cs="Calibri Light"/>
        </w:rPr>
        <w:t xml:space="preserve"> ASU 202</w:t>
      </w:r>
      <w:r w:rsidR="006F5277">
        <w:rPr>
          <w:rFonts w:ascii="Calibri Light" w:hAnsi="Calibri Light" w:cs="Calibri Light"/>
        </w:rPr>
        <w:t>2</w:t>
      </w:r>
      <w:r w:rsidRPr="00493116">
        <w:rPr>
          <w:rFonts w:ascii="Calibri Light" w:hAnsi="Calibri Light" w:cs="Calibri Light"/>
        </w:rPr>
        <w:t>-0</w:t>
      </w:r>
      <w:r w:rsidR="006F5277">
        <w:rPr>
          <w:rFonts w:ascii="Calibri Light" w:hAnsi="Calibri Light" w:cs="Calibri Light"/>
        </w:rPr>
        <w:t>1</w:t>
      </w:r>
      <w:r w:rsidRPr="00493116">
        <w:rPr>
          <w:rFonts w:ascii="Calibri Light" w:hAnsi="Calibri Light" w:cs="Calibri Light"/>
        </w:rPr>
        <w:t>.</w:t>
      </w:r>
      <w:bookmarkEnd w:id="3"/>
    </w:p>
    <w:p w14:paraId="07C8EA24" w14:textId="78502010" w:rsidR="00F747FA" w:rsidRPr="00297FCB" w:rsidRDefault="00843D8B" w:rsidP="00F747FA">
      <w:pPr>
        <w:pStyle w:val="PABulletLink75IND"/>
        <w:numPr>
          <w:ilvl w:val="0"/>
          <w:numId w:val="10"/>
        </w:numPr>
        <w:spacing w:before="0" w:after="240"/>
        <w:ind w:left="270" w:hanging="270"/>
        <w:rPr>
          <w:rStyle w:val="Hyperlink"/>
          <w:rFonts w:ascii="Calibri Light" w:hAnsi="Calibri Light" w:cs="Calibri Light"/>
          <w:b/>
          <w:iCs/>
        </w:rPr>
      </w:pPr>
      <w:hyperlink r:id="rId12" w:history="1">
        <w:r w:rsidR="00F747FA" w:rsidRPr="00F747FA">
          <w:rPr>
            <w:rStyle w:val="Hyperlink"/>
            <w:rFonts w:ascii="Calibri Light" w:hAnsi="Calibri Light" w:cs="Calibri Light"/>
            <w:b/>
            <w:iCs/>
          </w:rPr>
          <w:t xml:space="preserve">2022-02 — </w:t>
        </w:r>
        <w:r w:rsidR="00F747FA" w:rsidRPr="00F747FA">
          <w:rPr>
            <w:rStyle w:val="Hyperlink"/>
            <w:rFonts w:ascii="Calibri Light" w:hAnsi="Calibri Light" w:cs="Calibri Light"/>
            <w:b/>
            <w:i/>
          </w:rPr>
          <w:t>Financial Instruments</w:t>
        </w:r>
        <w:r w:rsidR="00130C91">
          <w:rPr>
            <w:rStyle w:val="Hyperlink"/>
            <w:rFonts w:ascii="Calibri Light" w:hAnsi="Calibri Light" w:cs="Calibri Light"/>
            <w:b/>
            <w:i/>
          </w:rPr>
          <w:t xml:space="preserve"> </w:t>
        </w:r>
        <w:r w:rsidR="00F747FA" w:rsidRPr="00F747FA">
          <w:rPr>
            <w:rStyle w:val="Hyperlink"/>
            <w:rFonts w:ascii="Calibri Light" w:hAnsi="Calibri Light" w:cs="Calibri Light"/>
            <w:b/>
            <w:i/>
          </w:rPr>
          <w:t>—</w:t>
        </w:r>
        <w:r w:rsidR="00130C91">
          <w:rPr>
            <w:rStyle w:val="Hyperlink"/>
            <w:rFonts w:ascii="Calibri Light" w:hAnsi="Calibri Light" w:cs="Calibri Light"/>
            <w:b/>
            <w:i/>
          </w:rPr>
          <w:t xml:space="preserve"> </w:t>
        </w:r>
        <w:r w:rsidR="00F747FA" w:rsidRPr="00F747FA">
          <w:rPr>
            <w:rStyle w:val="Hyperlink"/>
            <w:rFonts w:ascii="Calibri Light" w:hAnsi="Calibri Light" w:cs="Calibri Light"/>
            <w:b/>
            <w:i/>
          </w:rPr>
          <w:t>Credit Losses (Topic 326): Troubled Debt Restructurings and Vintage Disclosures</w:t>
        </w:r>
      </w:hyperlink>
    </w:p>
    <w:p w14:paraId="346581B6" w14:textId="63FEF7BB" w:rsidR="00230200" w:rsidRDefault="00F747FA" w:rsidP="00230200">
      <w:pPr>
        <w:rPr>
          <w:rFonts w:ascii="Calibri Light" w:hAnsi="Calibri Light" w:cs="Calibri Light"/>
        </w:rPr>
      </w:pPr>
      <w:r w:rsidRPr="00210DFE">
        <w:rPr>
          <w:rFonts w:ascii="Calibri Light" w:hAnsi="Calibri Light" w:cs="Calibri Light"/>
        </w:rPr>
        <w:t xml:space="preserve">On March </w:t>
      </w:r>
      <w:r w:rsidR="00CC4A60">
        <w:rPr>
          <w:rFonts w:ascii="Calibri Light" w:hAnsi="Calibri Light" w:cs="Calibri Light"/>
        </w:rPr>
        <w:t>31</w:t>
      </w:r>
      <w:r w:rsidRPr="00210DFE">
        <w:rPr>
          <w:rFonts w:ascii="Calibri Light" w:hAnsi="Calibri Light" w:cs="Calibri Light"/>
        </w:rPr>
        <w:t>, 2022, the FASB issued ASU 2022-0</w:t>
      </w:r>
      <w:r w:rsidR="00F43CC0">
        <w:rPr>
          <w:rFonts w:ascii="Calibri Light" w:hAnsi="Calibri Light" w:cs="Calibri Light"/>
        </w:rPr>
        <w:t>2, w</w:t>
      </w:r>
      <w:r w:rsidR="00F43CC0" w:rsidRPr="00CC4A60">
        <w:rPr>
          <w:rFonts w:ascii="Calibri Light" w:hAnsi="Calibri Light" w:cs="Calibri Light"/>
        </w:rPr>
        <w:t>hich eliminates the accounting guidance on troubled debt restructurings (TDRs) for creditors in ASC 310-40 and amends the guidance on “vintage disclosures” to require disclosure of current-period gross write-offs by year of origination. The ASU also updates the requirements related to accounting for credit losses under ASC 326 and adds enhanced disclosures for creditors with respect to loan refinancings and restructurings for borrowers experiencing financial difficulty.</w:t>
      </w:r>
      <w:r>
        <w:rPr>
          <w:rFonts w:ascii="Calibri Light" w:hAnsi="Calibri Light" w:cs="Calibri Light"/>
        </w:rPr>
        <w:t xml:space="preserve"> </w:t>
      </w:r>
    </w:p>
    <w:p w14:paraId="45350974" w14:textId="77777777" w:rsidR="00097BAF" w:rsidRPr="00097BAF" w:rsidRDefault="00097BAF" w:rsidP="00097BAF">
      <w:pPr>
        <w:rPr>
          <w:rFonts w:ascii="Calibri Light" w:hAnsi="Calibri Light" w:cs="Calibri Light"/>
        </w:rPr>
      </w:pPr>
      <w:r w:rsidRPr="00097BAF">
        <w:rPr>
          <w:rFonts w:ascii="Calibri Light" w:hAnsi="Calibri Light" w:cs="Calibri Light"/>
        </w:rPr>
        <w:t>ASU 2022-02 supersedes the accounting guidance for TDRs for creditors in ASC 310-40 in its entirety and requires entities to evaluate all receivable modifications under ASC 310-20-35-9 through 35-11 to determine whether a modification made to a borrower results in a new loan or a continuation of the existing loan. The ASU also amends other subtopics to remove references to TDRs for creditors.</w:t>
      </w:r>
    </w:p>
    <w:p w14:paraId="1EB87D29" w14:textId="77777777" w:rsidR="00097BAF" w:rsidRPr="00097BAF" w:rsidRDefault="00097BAF" w:rsidP="00097BAF">
      <w:pPr>
        <w:rPr>
          <w:rFonts w:ascii="Calibri Light" w:hAnsi="Calibri Light" w:cs="Calibri Light"/>
        </w:rPr>
      </w:pPr>
      <w:r w:rsidRPr="00097BAF">
        <w:rPr>
          <w:rFonts w:ascii="Calibri Light" w:hAnsi="Calibri Light" w:cs="Calibri Light"/>
        </w:rPr>
        <w:t>In addition to the elimination of TDR guidance, an entity that has adopted ASU 2022-02 no longer considers renewals, modifications, and extensions that result from reasonably expected TDRs in their calculation of the allowance for credit losses in accordance with ASC 326-20.</w:t>
      </w:r>
    </w:p>
    <w:p w14:paraId="4D22458C" w14:textId="46A146D6" w:rsidR="00097BAF" w:rsidRDefault="00097BAF" w:rsidP="00230200">
      <w:pPr>
        <w:rPr>
          <w:rFonts w:ascii="Calibri Light" w:hAnsi="Calibri Light" w:cs="Calibri Light"/>
        </w:rPr>
      </w:pPr>
      <w:r>
        <w:rPr>
          <w:rFonts w:ascii="Calibri Light" w:hAnsi="Calibri Light" w:cs="Calibri Light"/>
        </w:rPr>
        <w:t>T</w:t>
      </w:r>
      <w:r w:rsidRPr="00097BAF">
        <w:rPr>
          <w:rFonts w:ascii="Calibri Light" w:hAnsi="Calibri Light" w:cs="Calibri Light"/>
        </w:rPr>
        <w:t xml:space="preserve">he ASU </w:t>
      </w:r>
      <w:r>
        <w:rPr>
          <w:rFonts w:ascii="Calibri Light" w:hAnsi="Calibri Light" w:cs="Calibri Light"/>
        </w:rPr>
        <w:t xml:space="preserve">also </w:t>
      </w:r>
      <w:r w:rsidRPr="00097BAF">
        <w:rPr>
          <w:rFonts w:ascii="Calibri Light" w:hAnsi="Calibri Light" w:cs="Calibri Light"/>
        </w:rPr>
        <w:t xml:space="preserve">requires </w:t>
      </w:r>
      <w:r>
        <w:rPr>
          <w:rFonts w:ascii="Calibri Light" w:hAnsi="Calibri Light" w:cs="Calibri Light"/>
        </w:rPr>
        <w:t xml:space="preserve">a number of </w:t>
      </w:r>
      <w:r w:rsidRPr="00097BAF">
        <w:rPr>
          <w:rFonts w:ascii="Calibri Light" w:hAnsi="Calibri Light" w:cs="Calibri Light"/>
        </w:rPr>
        <w:t>new disclosures</w:t>
      </w:r>
      <w:r>
        <w:rPr>
          <w:rFonts w:ascii="Calibri Light" w:hAnsi="Calibri Light" w:cs="Calibri Light"/>
        </w:rPr>
        <w:t xml:space="preserve"> requirements.</w:t>
      </w:r>
    </w:p>
    <w:p w14:paraId="0064B898" w14:textId="4DE1464E" w:rsidR="00D60C5C" w:rsidRDefault="00D60C5C" w:rsidP="00DE6BE9">
      <w:pPr>
        <w:rPr>
          <w:rFonts w:ascii="Calibri Light" w:hAnsi="Calibri Light" w:cs="Calibri Light"/>
        </w:rPr>
      </w:pPr>
      <w:r w:rsidRPr="00D60C5C">
        <w:rPr>
          <w:rFonts w:ascii="Calibri Light" w:hAnsi="Calibri Light" w:cs="Calibri Light"/>
        </w:rPr>
        <w:t>ASU 2022-0</w:t>
      </w:r>
      <w:r>
        <w:rPr>
          <w:rFonts w:ascii="Calibri Light" w:hAnsi="Calibri Light" w:cs="Calibri Light"/>
        </w:rPr>
        <w:t>2</w:t>
      </w:r>
      <w:r w:rsidRPr="00D60C5C">
        <w:rPr>
          <w:rFonts w:ascii="Calibri Light" w:hAnsi="Calibri Light" w:cs="Calibri Light"/>
        </w:rPr>
        <w:t>’s amendments are effective as follows:</w:t>
      </w:r>
    </w:p>
    <w:p w14:paraId="3BD036F9" w14:textId="77777777" w:rsidR="00097BAF" w:rsidRPr="00CC4A60" w:rsidRDefault="00097BAF" w:rsidP="00097BAF">
      <w:pPr>
        <w:pStyle w:val="ListParagraph"/>
        <w:widowControl/>
        <w:numPr>
          <w:ilvl w:val="0"/>
          <w:numId w:val="36"/>
        </w:numPr>
        <w:shd w:val="clear" w:color="auto" w:fill="FFFFFF"/>
        <w:autoSpaceDE/>
        <w:autoSpaceDN/>
        <w:spacing w:before="150" w:after="150" w:line="240" w:lineRule="auto"/>
      </w:pPr>
      <w:r w:rsidRPr="00CC4A60">
        <w:t>For entities that have already adopted ASU 2016-13, the amendments in ASU 2022-02 are effective for fiscal years beginning after December 15, 2022, including interim periods within those fiscal years.</w:t>
      </w:r>
    </w:p>
    <w:p w14:paraId="3D32140C" w14:textId="21A11565" w:rsidR="00D60C5C" w:rsidRPr="00CA58D9" w:rsidRDefault="00097BAF" w:rsidP="00D60C5C">
      <w:pPr>
        <w:pStyle w:val="ListParagraph"/>
        <w:numPr>
          <w:ilvl w:val="0"/>
          <w:numId w:val="36"/>
        </w:numPr>
      </w:pPr>
      <w:r w:rsidRPr="00CC4A60">
        <w:t>For entities that have not yet adopted ASU 2016-13, the amendments in ASU 2022-02 are effective upon adoption of ASU 2016-13.</w:t>
      </w:r>
    </w:p>
    <w:p w14:paraId="5105360B" w14:textId="035C9F8C" w:rsidR="00097BAF" w:rsidRPr="00CC4A60" w:rsidRDefault="00097BAF" w:rsidP="00CC4A60">
      <w:pPr>
        <w:rPr>
          <w:rFonts w:ascii="Calibri Light" w:hAnsi="Calibri Light" w:cs="Calibri Light"/>
        </w:rPr>
      </w:pPr>
      <w:r w:rsidRPr="00CC4A60">
        <w:rPr>
          <w:rFonts w:ascii="Calibri Light" w:hAnsi="Calibri Light" w:cs="Calibri Light"/>
        </w:rPr>
        <w:t>Entities are permitted to early adopt these amendments, including adoption in any interim period, provided that the amendments are adopted as of the beginning of the annual reporting period that includes the interim period of adoption.</w:t>
      </w:r>
      <w:r>
        <w:rPr>
          <w:rFonts w:ascii="Calibri Light" w:hAnsi="Calibri Light" w:cs="Calibri Light"/>
        </w:rPr>
        <w:t xml:space="preserve">  </w:t>
      </w:r>
      <w:r w:rsidRPr="00CC4A60">
        <w:rPr>
          <w:rFonts w:ascii="Calibri Light" w:hAnsi="Calibri Light" w:cs="Calibri Light"/>
        </w:rPr>
        <w:t>In addition, entities are permitted to elect to early adopt the amendments related to TDR accounting and related disclosure enhancements separately from the amendments related to the vintage disclosures.</w:t>
      </w:r>
    </w:p>
    <w:p w14:paraId="4D8D7FE4" w14:textId="2CAD93E1" w:rsidR="00D60C5C" w:rsidRDefault="00097BAF" w:rsidP="00D60C5C">
      <w:pPr>
        <w:rPr>
          <w:rFonts w:ascii="Calibri Light" w:hAnsi="Calibri Light" w:cs="Calibri Light"/>
        </w:rPr>
      </w:pPr>
      <w:r w:rsidRPr="00CC4A60">
        <w:rPr>
          <w:rFonts w:ascii="Calibri Light" w:hAnsi="Calibri Light" w:cs="Calibri Light"/>
        </w:rPr>
        <w:t xml:space="preserve">Entities may elect to apply the updated guidance on TDR recognition and measurement by using a modified retrospective transition method, which would result in a cumulative-effect adjustment to retained earnings, or to adopt the amendments prospectively. If an entity elects to adopt the updated guidance on TDR recognition and measurement prospectively, the guidance should be applied to modifications occurring after the date of adoption. The amendments on TDR disclosures and vintage </w:t>
      </w:r>
      <w:r w:rsidR="00D60C5C" w:rsidRPr="00D60C5C">
        <w:rPr>
          <w:rFonts w:ascii="Calibri Light" w:hAnsi="Calibri Light" w:cs="Calibri Light"/>
        </w:rPr>
        <w:t>disclosures</w:t>
      </w:r>
      <w:r w:rsidRPr="00097BAF">
        <w:rPr>
          <w:rFonts w:ascii="Calibri Light" w:hAnsi="Calibri Light" w:cs="Calibri Light"/>
        </w:rPr>
        <w:t xml:space="preserve"> </w:t>
      </w:r>
      <w:r w:rsidRPr="000C794E">
        <w:rPr>
          <w:rFonts w:ascii="Calibri Light" w:hAnsi="Calibri Light" w:cs="Calibri Light"/>
        </w:rPr>
        <w:t>should be adopted prospectively</w:t>
      </w:r>
    </w:p>
    <w:p w14:paraId="640934E9" w14:textId="4B9C94DA" w:rsidR="00F43CC0" w:rsidRDefault="00F43CC0" w:rsidP="00F43CC0">
      <w:pPr>
        <w:rPr>
          <w:rFonts w:ascii="Calibri Light" w:hAnsi="Calibri Light" w:cs="Calibri Light"/>
        </w:rPr>
      </w:pPr>
      <w:r w:rsidRPr="00493116">
        <w:rPr>
          <w:rFonts w:ascii="Calibri Light" w:hAnsi="Calibri Light" w:cs="Calibri Light"/>
        </w:rPr>
        <w:t xml:space="preserve">See Deloitte’s </w:t>
      </w:r>
      <w:r>
        <w:rPr>
          <w:rFonts w:ascii="Calibri Light" w:hAnsi="Calibri Light" w:cs="Calibri Light"/>
        </w:rPr>
        <w:t>April 4</w:t>
      </w:r>
      <w:r w:rsidRPr="00493116">
        <w:rPr>
          <w:rFonts w:ascii="Calibri Light" w:hAnsi="Calibri Light" w:cs="Calibri Light"/>
        </w:rPr>
        <w:t>, 202</w:t>
      </w:r>
      <w:r>
        <w:rPr>
          <w:rFonts w:ascii="Calibri Light" w:hAnsi="Calibri Light" w:cs="Calibri Light"/>
        </w:rPr>
        <w:t>2,</w:t>
      </w:r>
      <w:r w:rsidRPr="00493116">
        <w:rPr>
          <w:rFonts w:ascii="Calibri Light" w:hAnsi="Calibri Light" w:cs="Calibri Light"/>
        </w:rPr>
        <w:t xml:space="preserve"> </w:t>
      </w:r>
      <w:hyperlink r:id="rId13" w:history="1">
        <w:r w:rsidRPr="006F5277">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2</w:t>
      </w:r>
      <w:r w:rsidRPr="00493116">
        <w:rPr>
          <w:rFonts w:ascii="Calibri Light" w:hAnsi="Calibri Light" w:cs="Calibri Light"/>
        </w:rPr>
        <w:t>-0</w:t>
      </w:r>
      <w:r>
        <w:rPr>
          <w:rFonts w:ascii="Calibri Light" w:hAnsi="Calibri Light" w:cs="Calibri Light"/>
        </w:rPr>
        <w:t>2</w:t>
      </w:r>
      <w:r w:rsidRPr="00493116">
        <w:rPr>
          <w:rFonts w:ascii="Calibri Light" w:hAnsi="Calibri Light" w:cs="Calibri Light"/>
        </w:rPr>
        <w:t>.</w:t>
      </w:r>
    </w:p>
    <w:p w14:paraId="3CFB762C" w14:textId="77777777" w:rsidR="00F43CC0" w:rsidRPr="00DE6BE9" w:rsidRDefault="00F43CC0" w:rsidP="00D60C5C">
      <w:pPr>
        <w:rPr>
          <w:rFonts w:ascii="Calibri Light" w:hAnsi="Calibri Light" w:cs="Calibri Light"/>
        </w:rPr>
      </w:pPr>
    </w:p>
    <w:p w14:paraId="5C98977A" w14:textId="1DF86079" w:rsidR="00986C9E" w:rsidRPr="0068337C" w:rsidRDefault="00EE0128" w:rsidP="00EF6CC8">
      <w:pPr>
        <w:keepNext/>
        <w:rPr>
          <w:rFonts w:ascii="Calibri Light" w:hAnsi="Calibri Light" w:cs="Calibri Light"/>
          <w:b/>
          <w:bCs/>
          <w:sz w:val="28"/>
          <w:szCs w:val="28"/>
        </w:rPr>
      </w:pPr>
      <w:r w:rsidRPr="0068337C">
        <w:rPr>
          <w:rFonts w:ascii="Calibri Light" w:hAnsi="Calibri Light" w:cs="Calibri Light"/>
          <w:b/>
          <w:bCs/>
          <w:sz w:val="28"/>
          <w:szCs w:val="28"/>
        </w:rPr>
        <w:lastRenderedPageBreak/>
        <w:t xml:space="preserve">Changes Reflected in the </w:t>
      </w:r>
      <w:r w:rsidR="0042616E" w:rsidRPr="0068337C">
        <w:rPr>
          <w:rFonts w:ascii="Calibri Light" w:hAnsi="Calibri Light" w:cs="Calibri Light"/>
          <w:b/>
          <w:bCs/>
          <w:sz w:val="28"/>
          <w:szCs w:val="28"/>
        </w:rPr>
        <w:t>U.S</w:t>
      </w:r>
      <w:r w:rsidR="00435B49" w:rsidRPr="0068337C">
        <w:rPr>
          <w:rFonts w:ascii="Calibri Light" w:hAnsi="Calibri Light" w:cs="Calibri Light"/>
          <w:b/>
          <w:bCs/>
          <w:sz w:val="28"/>
          <w:szCs w:val="28"/>
        </w:rPr>
        <w:t>.</w:t>
      </w:r>
      <w:r w:rsidR="0042616E" w:rsidRPr="0068337C">
        <w:rPr>
          <w:rFonts w:ascii="Calibri Light" w:hAnsi="Calibri Light" w:cs="Calibri Light"/>
          <w:b/>
          <w:bCs/>
          <w:sz w:val="28"/>
          <w:szCs w:val="28"/>
        </w:rPr>
        <w:t xml:space="preserve"> GAAP </w:t>
      </w:r>
      <w:r w:rsidRPr="0068337C">
        <w:rPr>
          <w:rFonts w:ascii="Calibri Light" w:hAnsi="Calibri Light" w:cs="Calibri Light"/>
          <w:b/>
          <w:bCs/>
          <w:sz w:val="28"/>
          <w:szCs w:val="28"/>
        </w:rPr>
        <w:t>Checklist</w:t>
      </w:r>
      <w:r w:rsidR="0042616E" w:rsidRPr="0068337C">
        <w:rPr>
          <w:rFonts w:ascii="Calibri Light" w:hAnsi="Calibri Light" w:cs="Calibri Light"/>
          <w:b/>
          <w:bCs/>
          <w:sz w:val="28"/>
          <w:szCs w:val="28"/>
        </w:rPr>
        <w:t xml:space="preserve"> </w:t>
      </w:r>
      <w:r w:rsidR="00C130F3" w:rsidRPr="0068337C">
        <w:rPr>
          <w:rFonts w:ascii="Calibri Light" w:hAnsi="Calibri Light" w:cs="Calibri Light"/>
          <w:b/>
          <w:bCs/>
          <w:sz w:val="28"/>
          <w:szCs w:val="28"/>
        </w:rPr>
        <w:t>and Codification</w:t>
      </w:r>
    </w:p>
    <w:p w14:paraId="7D36C3BE" w14:textId="4D99FB01" w:rsidR="001A19EF" w:rsidRDefault="001A19EF" w:rsidP="00EA1E1F">
      <w:pPr>
        <w:rPr>
          <w:rFonts w:ascii="Calibri Light" w:hAnsi="Calibri Light" w:cs="Calibri Light"/>
        </w:rPr>
      </w:pPr>
      <w:r w:rsidRPr="00493116">
        <w:rPr>
          <w:rFonts w:ascii="Calibri Light" w:hAnsi="Calibri Light" w:cs="Calibri Light"/>
        </w:rPr>
        <w:t>When the FASB amends the Codification with an ASU, each paragraph that was amended by the ASU is left unchanged (for entities that have not adopted the ASU)</w:t>
      </w:r>
      <w:r w:rsidR="001D62FD">
        <w:rPr>
          <w:rFonts w:ascii="Calibri Light" w:hAnsi="Calibri Light" w:cs="Calibri Light"/>
        </w:rPr>
        <w:t>,</w:t>
      </w:r>
      <w:r w:rsidRPr="00493116">
        <w:rPr>
          <w:rFonts w:ascii="Calibri Light" w:hAnsi="Calibri Light" w:cs="Calibri Light"/>
        </w:rPr>
        <w:t xml:space="preserve"> but is followed by a paragraph containing “pending content</w:t>
      </w:r>
      <w:r w:rsidR="0014471D" w:rsidRPr="00493116">
        <w:rPr>
          <w:rFonts w:ascii="Calibri Light" w:hAnsi="Calibri Light" w:cs="Calibri Light"/>
        </w:rPr>
        <w:t>.</w:t>
      </w:r>
      <w:r w:rsidRPr="00493116">
        <w:rPr>
          <w:rFonts w:ascii="Calibri Light" w:hAnsi="Calibri Light" w:cs="Calibri Light"/>
        </w:rPr>
        <w:t xml:space="preserve">” </w:t>
      </w:r>
      <w:r w:rsidR="00DB1159">
        <w:rPr>
          <w:rFonts w:ascii="Calibri Light" w:hAnsi="Calibri Light" w:cs="Calibri Light"/>
        </w:rPr>
        <w:t>Upon adoption of an ASU, entities</w:t>
      </w:r>
      <w:r w:rsidRPr="00493116">
        <w:rPr>
          <w:rFonts w:ascii="Calibri Light" w:hAnsi="Calibri Light" w:cs="Calibri Light"/>
        </w:rPr>
        <w:t xml:space="preserve"> need to complete the amended </w:t>
      </w:r>
      <w:r w:rsidR="001A1182">
        <w:rPr>
          <w:rFonts w:ascii="Calibri Light" w:hAnsi="Calibri Light" w:cs="Calibri Light"/>
        </w:rPr>
        <w:t>s</w:t>
      </w:r>
      <w:r w:rsidR="001A1182" w:rsidRPr="00493116">
        <w:rPr>
          <w:rFonts w:ascii="Calibri Light" w:hAnsi="Calibri Light" w:cs="Calibri Light"/>
        </w:rPr>
        <w:t xml:space="preserve">ubtopic </w:t>
      </w:r>
      <w:r w:rsidRPr="00493116">
        <w:rPr>
          <w:rFonts w:ascii="Calibri Light" w:hAnsi="Calibri Light" w:cs="Calibri Light"/>
        </w:rPr>
        <w:t>using the pending content for each paragraph that</w:t>
      </w:r>
      <w:r w:rsidR="00FA37BB">
        <w:rPr>
          <w:rFonts w:ascii="Calibri Light" w:hAnsi="Calibri Light" w:cs="Calibri Light"/>
        </w:rPr>
        <w:t xml:space="preserve"> has been</w:t>
      </w:r>
      <w:r w:rsidRPr="00493116">
        <w:rPr>
          <w:rFonts w:ascii="Calibri Light" w:hAnsi="Calibri Light" w:cs="Calibri Light"/>
        </w:rPr>
        <w:t xml:space="preserve"> </w:t>
      </w:r>
      <w:r w:rsidR="00F50BE2">
        <w:rPr>
          <w:rFonts w:ascii="Calibri Light" w:hAnsi="Calibri Light" w:cs="Calibri Light"/>
        </w:rPr>
        <w:t>adopted</w:t>
      </w:r>
      <w:r w:rsidRPr="00493116">
        <w:rPr>
          <w:rFonts w:ascii="Calibri Light" w:hAnsi="Calibri Light" w:cs="Calibri Light"/>
        </w:rPr>
        <w:t>.</w:t>
      </w:r>
    </w:p>
    <w:p w14:paraId="6122F155" w14:textId="73A2180B" w:rsidR="00912204" w:rsidRPr="00F00367" w:rsidRDefault="00843D8B" w:rsidP="0067356F">
      <w:pPr>
        <w:pStyle w:val="PABulletLink75IND"/>
        <w:numPr>
          <w:ilvl w:val="0"/>
          <w:numId w:val="10"/>
        </w:numPr>
        <w:spacing w:before="0" w:after="240"/>
        <w:ind w:left="270" w:hanging="270"/>
        <w:rPr>
          <w:rStyle w:val="Hyperlink"/>
          <w:rFonts w:ascii="Calibri Light" w:hAnsi="Calibri Light" w:cs="Calibri Light"/>
          <w:b/>
          <w:iCs/>
        </w:rPr>
      </w:pPr>
      <w:hyperlink r:id="rId14" w:history="1">
        <w:r w:rsidR="004A48A8" w:rsidRPr="006F5277">
          <w:rPr>
            <w:rStyle w:val="Hyperlink"/>
            <w:rFonts w:ascii="Calibri Light" w:hAnsi="Calibri Light" w:cs="Calibri Light"/>
            <w:b/>
            <w:iCs/>
          </w:rPr>
          <w:t xml:space="preserve">2022-01 — </w:t>
        </w:r>
        <w:r w:rsidR="004A48A8" w:rsidRPr="006F5277">
          <w:rPr>
            <w:rStyle w:val="Hyperlink"/>
            <w:rFonts w:ascii="Calibri Light" w:hAnsi="Calibri Light" w:cs="Calibri Light"/>
            <w:b/>
            <w:i/>
          </w:rPr>
          <w:t>Derivatives and Hedging (Topic 815): Fair Value Hedging</w:t>
        </w:r>
        <w:r w:rsidR="00130C91">
          <w:rPr>
            <w:rStyle w:val="Hyperlink"/>
            <w:rFonts w:ascii="Calibri Light" w:hAnsi="Calibri Light" w:cs="Calibri Light"/>
            <w:b/>
            <w:i/>
          </w:rPr>
          <w:t xml:space="preserve"> </w:t>
        </w:r>
        <w:r w:rsidR="004A48A8" w:rsidRPr="006F5277">
          <w:rPr>
            <w:rStyle w:val="Hyperlink"/>
            <w:rFonts w:ascii="Calibri Light" w:hAnsi="Calibri Light" w:cs="Calibri Light"/>
            <w:b/>
            <w:i/>
          </w:rPr>
          <w:t>—</w:t>
        </w:r>
        <w:r w:rsidR="00130C91">
          <w:rPr>
            <w:rStyle w:val="Hyperlink"/>
            <w:rFonts w:ascii="Calibri Light" w:hAnsi="Calibri Light" w:cs="Calibri Light"/>
            <w:b/>
            <w:i/>
          </w:rPr>
          <w:t xml:space="preserve"> </w:t>
        </w:r>
        <w:r w:rsidR="004A48A8" w:rsidRPr="006F5277">
          <w:rPr>
            <w:rStyle w:val="Hyperlink"/>
            <w:rFonts w:ascii="Calibri Light" w:hAnsi="Calibri Light" w:cs="Calibri Light"/>
            <w:b/>
            <w:i/>
          </w:rPr>
          <w:t>Portfolio Layer Method</w:t>
        </w:r>
      </w:hyperlink>
    </w:p>
    <w:p w14:paraId="34612FB0" w14:textId="6CFD0DAA" w:rsidR="00191D9F" w:rsidRDefault="00191D9F" w:rsidP="008C6556">
      <w:pPr>
        <w:rPr>
          <w:rFonts w:ascii="Calibri Light" w:hAnsi="Calibri Light" w:cs="Calibri Light"/>
        </w:rPr>
      </w:pPr>
      <w:r w:rsidRPr="00191D9F">
        <w:rPr>
          <w:rFonts w:ascii="Calibri Light" w:hAnsi="Calibri Light" w:cs="Calibri Light"/>
        </w:rPr>
        <w:t>As a result of th</w:t>
      </w:r>
      <w:r w:rsidR="00912204">
        <w:rPr>
          <w:rFonts w:ascii="Calibri Light" w:hAnsi="Calibri Light" w:cs="Calibri Light"/>
        </w:rPr>
        <w:t>i</w:t>
      </w:r>
      <w:r w:rsidR="00A0350B">
        <w:rPr>
          <w:rFonts w:ascii="Calibri Light" w:hAnsi="Calibri Light" w:cs="Calibri Light"/>
        </w:rPr>
        <w:t xml:space="preserve">s </w:t>
      </w:r>
      <w:r w:rsidRPr="00191D9F">
        <w:rPr>
          <w:rFonts w:ascii="Calibri Light" w:hAnsi="Calibri Light" w:cs="Calibri Light"/>
        </w:rPr>
        <w:t>ASU, the following section</w:t>
      </w:r>
      <w:r w:rsidR="00072041">
        <w:rPr>
          <w:rFonts w:ascii="Calibri Light" w:hAnsi="Calibri Light" w:cs="Calibri Light"/>
        </w:rPr>
        <w:t>s</w:t>
      </w:r>
      <w:r w:rsidRPr="00191D9F">
        <w:rPr>
          <w:rFonts w:ascii="Calibri Light" w:hAnsi="Calibri Light" w:cs="Calibri Light"/>
        </w:rPr>
        <w:t xml:space="preserve"> h</w:t>
      </w:r>
      <w:r w:rsidR="00072041">
        <w:rPr>
          <w:rFonts w:ascii="Calibri Light" w:hAnsi="Calibri Light" w:cs="Calibri Light"/>
        </w:rPr>
        <w:t>ave</w:t>
      </w:r>
      <w:r w:rsidRPr="00191D9F">
        <w:rPr>
          <w:rFonts w:ascii="Calibri Light" w:hAnsi="Calibri Light" w:cs="Calibri Light"/>
        </w:rPr>
        <w:t xml:space="preserve"> been updated in the U.S. GAAP Checklist:</w:t>
      </w:r>
    </w:p>
    <w:p w14:paraId="0ABDE22D" w14:textId="0963DB6D" w:rsidR="003747DC" w:rsidRPr="004A48A8" w:rsidRDefault="00424CD8" w:rsidP="003747DC">
      <w:pPr>
        <w:pStyle w:val="PABullet1"/>
        <w:numPr>
          <w:ilvl w:val="0"/>
          <w:numId w:val="9"/>
        </w:numPr>
        <w:spacing w:before="240" w:after="240"/>
        <w:ind w:left="720"/>
        <w:rPr>
          <w:rFonts w:ascii="Calibri Light" w:hAnsi="Calibri Light" w:cs="Calibri Light"/>
          <w:color w:val="62B5E5"/>
          <w:u w:val="single"/>
        </w:rPr>
      </w:pPr>
      <w:hyperlink r:id="rId15" w:anchor="283b1203-3ddf-11e6-8541-99b75b1e61fe" w:history="1">
        <w:r w:rsidR="004A48A8" w:rsidRPr="004A48A8">
          <w:rPr>
            <w:rStyle w:val="Hyperlink"/>
            <w:rFonts w:ascii="Calibri Light" w:hAnsi="Calibri Light" w:cs="Calibri Light"/>
          </w:rPr>
          <w:t>310</w:t>
        </w:r>
        <w:r w:rsidR="003747DC" w:rsidRPr="004A48A8">
          <w:rPr>
            <w:rStyle w:val="Hyperlink"/>
            <w:rFonts w:ascii="Calibri Light" w:hAnsi="Calibri Light" w:cs="Calibri Light"/>
          </w:rPr>
          <w:t>-10-</w:t>
        </w:r>
        <w:r w:rsidR="00971A6D" w:rsidRPr="004A48A8">
          <w:rPr>
            <w:rStyle w:val="Hyperlink"/>
            <w:rFonts w:ascii="Calibri Light" w:hAnsi="Calibri Light" w:cs="Calibri Light"/>
          </w:rPr>
          <w:t>3</w:t>
        </w:r>
        <w:r w:rsidR="004A48A8" w:rsidRPr="004A48A8">
          <w:rPr>
            <w:rStyle w:val="Hyperlink"/>
            <w:rFonts w:ascii="Calibri Light" w:hAnsi="Calibri Light" w:cs="Calibri Light"/>
          </w:rPr>
          <w:t>5</w:t>
        </w:r>
        <w:r w:rsidR="000219C6" w:rsidRPr="004A48A8">
          <w:rPr>
            <w:rStyle w:val="Hyperlink"/>
            <w:rFonts w:ascii="Calibri Light" w:hAnsi="Calibri Light" w:cs="Calibri Light"/>
          </w:rPr>
          <w:t xml:space="preserve">, </w:t>
        </w:r>
        <w:r w:rsidR="004A48A8" w:rsidRPr="004A48A8">
          <w:rPr>
            <w:rStyle w:val="Hyperlink"/>
            <w:rFonts w:ascii="Calibri Light" w:hAnsi="Calibri Light" w:cs="Calibri Light"/>
            <w:i/>
            <w:iCs/>
          </w:rPr>
          <w:t xml:space="preserve">Receivables </w:t>
        </w:r>
        <w:r w:rsidR="00AE47F3" w:rsidRPr="004A48A8">
          <w:rPr>
            <w:rStyle w:val="Hyperlink"/>
            <w:rFonts w:ascii="Calibri Light" w:hAnsi="Calibri Light" w:cs="Calibri Light"/>
            <w:i/>
            <w:iCs/>
          </w:rPr>
          <w:t xml:space="preserve">— Overall — </w:t>
        </w:r>
        <w:r w:rsidR="004A48A8" w:rsidRPr="004A48A8">
          <w:rPr>
            <w:rStyle w:val="Hyperlink"/>
            <w:rFonts w:ascii="Calibri Light" w:hAnsi="Calibri Light" w:cs="Calibri Light"/>
            <w:i/>
            <w:iCs/>
          </w:rPr>
          <w:t>Subsequent</w:t>
        </w:r>
        <w:r w:rsidR="00AE47F3" w:rsidRPr="004A48A8">
          <w:rPr>
            <w:rStyle w:val="Hyperlink"/>
            <w:rFonts w:ascii="Calibri Light" w:hAnsi="Calibri Light" w:cs="Calibri Light"/>
            <w:i/>
            <w:iCs/>
          </w:rPr>
          <w:t xml:space="preserve"> Measurement</w:t>
        </w:r>
      </w:hyperlink>
    </w:p>
    <w:p w14:paraId="56E5A808" w14:textId="7B641D7C" w:rsidR="004A48A8" w:rsidRPr="004A48A8" w:rsidRDefault="00424CD8" w:rsidP="003747DC">
      <w:pPr>
        <w:pStyle w:val="PABullet1"/>
        <w:numPr>
          <w:ilvl w:val="0"/>
          <w:numId w:val="9"/>
        </w:numPr>
        <w:spacing w:before="240" w:after="240"/>
        <w:ind w:left="720"/>
        <w:rPr>
          <w:rFonts w:ascii="Calibri Light" w:hAnsi="Calibri Light" w:cs="Calibri Light"/>
          <w:color w:val="62B5E5"/>
          <w:u w:val="single"/>
        </w:rPr>
      </w:pPr>
      <w:hyperlink r:id="rId16" w:history="1">
        <w:r w:rsidR="004A48A8" w:rsidRPr="00006D68">
          <w:rPr>
            <w:rStyle w:val="Hyperlink"/>
            <w:rFonts w:ascii="Calibri Light" w:hAnsi="Calibri Light" w:cs="Calibri Light"/>
          </w:rPr>
          <w:t xml:space="preserve">320-10-35, </w:t>
        </w:r>
        <w:r w:rsidR="004A48A8" w:rsidRPr="00006D68">
          <w:rPr>
            <w:rStyle w:val="Hyperlink"/>
            <w:rFonts w:ascii="Calibri Light" w:hAnsi="Calibri Light" w:cs="Calibri Light"/>
            <w:i/>
            <w:iCs/>
          </w:rPr>
          <w:t>Investments — Debt Securities — Overall — Subsequent Measurement</w:t>
        </w:r>
      </w:hyperlink>
    </w:p>
    <w:p w14:paraId="40B97178" w14:textId="601E8C81" w:rsidR="004A48A8" w:rsidRPr="004A48A8" w:rsidRDefault="00424CD8" w:rsidP="003747DC">
      <w:pPr>
        <w:pStyle w:val="PABullet1"/>
        <w:numPr>
          <w:ilvl w:val="0"/>
          <w:numId w:val="9"/>
        </w:numPr>
        <w:spacing w:before="240" w:after="240"/>
        <w:ind w:left="720"/>
        <w:rPr>
          <w:rFonts w:ascii="Calibri Light" w:hAnsi="Calibri Light" w:cs="Calibri Light"/>
          <w:color w:val="62B5E5"/>
          <w:u w:val="single"/>
        </w:rPr>
      </w:pPr>
      <w:hyperlink r:id="rId17" w:history="1">
        <w:r w:rsidR="004A48A8" w:rsidRPr="00006D68">
          <w:rPr>
            <w:rStyle w:val="Hyperlink"/>
            <w:rFonts w:ascii="Calibri Light" w:hAnsi="Calibri Light" w:cs="Calibri Light"/>
          </w:rPr>
          <w:t xml:space="preserve">326-20-30, </w:t>
        </w:r>
        <w:r w:rsidR="004A48A8" w:rsidRPr="00006D68">
          <w:rPr>
            <w:rStyle w:val="Hyperlink"/>
            <w:rFonts w:ascii="Calibri Light" w:hAnsi="Calibri Light" w:cs="Calibri Light"/>
            <w:i/>
            <w:iCs/>
          </w:rPr>
          <w:t>Financial Instruments — Credit Losses — Measured at Amortized Cost — Initial Measurement</w:t>
        </w:r>
      </w:hyperlink>
    </w:p>
    <w:p w14:paraId="1D6E625F" w14:textId="7E3A7AA0" w:rsidR="004A48A8" w:rsidRPr="004A48A8" w:rsidRDefault="00424CD8" w:rsidP="004A48A8">
      <w:pPr>
        <w:pStyle w:val="PABullet1"/>
        <w:numPr>
          <w:ilvl w:val="0"/>
          <w:numId w:val="9"/>
        </w:numPr>
        <w:spacing w:before="240" w:after="240"/>
        <w:ind w:left="720"/>
        <w:rPr>
          <w:rFonts w:ascii="Calibri Light" w:hAnsi="Calibri Light" w:cs="Calibri Light"/>
          <w:color w:val="62B5E5"/>
          <w:u w:val="single"/>
        </w:rPr>
      </w:pPr>
      <w:hyperlink r:id="rId18" w:anchor="75e05f8a-3de6-11e6-8541-216f90b7c23f" w:history="1">
        <w:r w:rsidR="004A48A8" w:rsidRPr="00006D68">
          <w:rPr>
            <w:rStyle w:val="Hyperlink"/>
            <w:rFonts w:ascii="Calibri Light" w:hAnsi="Calibri Light" w:cs="Calibri Light"/>
          </w:rPr>
          <w:t xml:space="preserve">326-30-35, </w:t>
        </w:r>
        <w:r w:rsidR="004A48A8" w:rsidRPr="00006D68">
          <w:rPr>
            <w:rStyle w:val="Hyperlink"/>
            <w:rFonts w:ascii="Calibri Light" w:hAnsi="Calibri Light" w:cs="Calibri Light"/>
            <w:i/>
            <w:iCs/>
          </w:rPr>
          <w:t>Financial Instruments — Credit Losses — Available</w:t>
        </w:r>
        <w:r w:rsidR="00006D68" w:rsidRPr="00006D68">
          <w:rPr>
            <w:rStyle w:val="Hyperlink"/>
            <w:rFonts w:ascii="Calibri Light" w:hAnsi="Calibri Light" w:cs="Calibri Light"/>
            <w:i/>
            <w:iCs/>
          </w:rPr>
          <w:t>-</w:t>
        </w:r>
        <w:r w:rsidR="004A48A8" w:rsidRPr="00006D68">
          <w:rPr>
            <w:rStyle w:val="Hyperlink"/>
            <w:rFonts w:ascii="Calibri Light" w:hAnsi="Calibri Light" w:cs="Calibri Light"/>
            <w:i/>
            <w:iCs/>
          </w:rPr>
          <w:t>for</w:t>
        </w:r>
        <w:r w:rsidR="00006D68" w:rsidRPr="00006D68">
          <w:rPr>
            <w:rStyle w:val="Hyperlink"/>
            <w:rFonts w:ascii="Calibri Light" w:hAnsi="Calibri Light" w:cs="Calibri Light"/>
            <w:i/>
            <w:iCs/>
          </w:rPr>
          <w:t>-</w:t>
        </w:r>
        <w:r w:rsidR="004A48A8" w:rsidRPr="00006D68">
          <w:rPr>
            <w:rStyle w:val="Hyperlink"/>
            <w:rFonts w:ascii="Calibri Light" w:hAnsi="Calibri Light" w:cs="Calibri Light"/>
            <w:i/>
            <w:iCs/>
          </w:rPr>
          <w:t>Sale Debt Securities — Subsequent Measurement</w:t>
        </w:r>
      </w:hyperlink>
    </w:p>
    <w:p w14:paraId="5F8BE30A" w14:textId="68429760" w:rsidR="004A48A8" w:rsidRPr="004A48A8" w:rsidRDefault="00424CD8" w:rsidP="004A48A8">
      <w:pPr>
        <w:pStyle w:val="PABullet1"/>
        <w:numPr>
          <w:ilvl w:val="0"/>
          <w:numId w:val="9"/>
        </w:numPr>
        <w:spacing w:before="240" w:after="240"/>
        <w:ind w:left="720"/>
        <w:rPr>
          <w:rFonts w:ascii="Calibri Light" w:hAnsi="Calibri Light" w:cs="Calibri Light"/>
          <w:color w:val="62B5E5"/>
          <w:u w:val="single"/>
        </w:rPr>
      </w:pPr>
      <w:hyperlink r:id="rId19" w:anchor="95987207-3e20-11e6-8541-37e045e0ed0a" w:history="1">
        <w:r w:rsidR="004A48A8" w:rsidRPr="00006D68">
          <w:rPr>
            <w:rStyle w:val="Hyperlink"/>
            <w:rFonts w:ascii="Calibri Light" w:hAnsi="Calibri Light" w:cs="Calibri Light"/>
          </w:rPr>
          <w:t xml:space="preserve">815-10-50, </w:t>
        </w:r>
        <w:r w:rsidR="004A48A8" w:rsidRPr="00006D68">
          <w:rPr>
            <w:rStyle w:val="Hyperlink"/>
            <w:rFonts w:ascii="Calibri Light" w:hAnsi="Calibri Light" w:cs="Calibri Light"/>
            <w:i/>
            <w:iCs/>
          </w:rPr>
          <w:t>Derivatives and Hedging — Overall — Disclosure</w:t>
        </w:r>
      </w:hyperlink>
    </w:p>
    <w:p w14:paraId="611382F2" w14:textId="5978DF75" w:rsidR="004A48A8" w:rsidRPr="004A48A8" w:rsidRDefault="00424CD8" w:rsidP="003747DC">
      <w:pPr>
        <w:pStyle w:val="PABullet1"/>
        <w:numPr>
          <w:ilvl w:val="0"/>
          <w:numId w:val="9"/>
        </w:numPr>
        <w:spacing w:before="240" w:after="240"/>
        <w:ind w:left="720"/>
        <w:rPr>
          <w:rFonts w:ascii="Calibri Light" w:hAnsi="Calibri Light" w:cs="Calibri Light"/>
          <w:color w:val="62B5E5"/>
          <w:u w:val="single"/>
        </w:rPr>
      </w:pPr>
      <w:hyperlink r:id="rId20" w:anchor="b0c7af9c-3e24-11e6-8541-993f9e30eb98" w:history="1">
        <w:r w:rsidR="004A48A8" w:rsidRPr="009A6F93">
          <w:rPr>
            <w:rStyle w:val="Hyperlink"/>
            <w:rFonts w:ascii="Calibri Light" w:hAnsi="Calibri Light" w:cs="Calibri Light"/>
          </w:rPr>
          <w:t xml:space="preserve">815-20-25, </w:t>
        </w:r>
        <w:r w:rsidR="004A48A8" w:rsidRPr="009A6F93">
          <w:rPr>
            <w:rStyle w:val="Hyperlink"/>
            <w:rFonts w:ascii="Calibri Light" w:hAnsi="Calibri Light" w:cs="Calibri Light"/>
            <w:i/>
            <w:iCs/>
          </w:rPr>
          <w:t>Derivatives and Hedging — Hedging — General — Recognition</w:t>
        </w:r>
      </w:hyperlink>
    </w:p>
    <w:p w14:paraId="3EE8A145" w14:textId="3DC13AB7" w:rsidR="004A48A8" w:rsidRPr="00006D68" w:rsidRDefault="00424CD8" w:rsidP="003747DC">
      <w:pPr>
        <w:pStyle w:val="PABullet1"/>
        <w:numPr>
          <w:ilvl w:val="0"/>
          <w:numId w:val="9"/>
        </w:numPr>
        <w:spacing w:before="240" w:after="240"/>
        <w:ind w:left="720"/>
        <w:rPr>
          <w:rFonts w:ascii="Calibri Light" w:hAnsi="Calibri Light" w:cs="Calibri Light"/>
          <w:color w:val="62B5E5"/>
          <w:u w:val="single"/>
        </w:rPr>
      </w:pPr>
      <w:hyperlink r:id="rId21" w:anchor="baac3002-3e24-11e6-8541-318d7ade624d" w:history="1">
        <w:r w:rsidR="00006D68" w:rsidRPr="009A6F93">
          <w:rPr>
            <w:rStyle w:val="Hyperlink"/>
            <w:rFonts w:ascii="Calibri Light" w:hAnsi="Calibri Light" w:cs="Calibri Light"/>
          </w:rPr>
          <w:t xml:space="preserve">815-20-45, </w:t>
        </w:r>
        <w:r w:rsidR="00006D68" w:rsidRPr="009A6F93">
          <w:rPr>
            <w:rStyle w:val="Hyperlink"/>
            <w:rFonts w:ascii="Calibri Light" w:hAnsi="Calibri Light" w:cs="Calibri Light"/>
            <w:i/>
            <w:iCs/>
          </w:rPr>
          <w:t xml:space="preserve">Derivatives and Hedging — Hedging — General — </w:t>
        </w:r>
        <w:r w:rsidR="009A6F93" w:rsidRPr="009A6F93">
          <w:rPr>
            <w:rStyle w:val="Hyperlink"/>
            <w:rFonts w:ascii="Calibri Light" w:hAnsi="Calibri Light" w:cs="Calibri Light"/>
            <w:i/>
            <w:iCs/>
          </w:rPr>
          <w:t xml:space="preserve">Other </w:t>
        </w:r>
        <w:r w:rsidR="00006D68" w:rsidRPr="009A6F93">
          <w:rPr>
            <w:rStyle w:val="Hyperlink"/>
            <w:rFonts w:ascii="Calibri Light" w:hAnsi="Calibri Light" w:cs="Calibri Light"/>
            <w:i/>
            <w:iCs/>
          </w:rPr>
          <w:t>Presentation</w:t>
        </w:r>
      </w:hyperlink>
    </w:p>
    <w:p w14:paraId="4BDDF09A" w14:textId="1E351760" w:rsidR="00006D68" w:rsidRPr="00006D68" w:rsidRDefault="00424CD8" w:rsidP="003747DC">
      <w:pPr>
        <w:pStyle w:val="PABullet1"/>
        <w:numPr>
          <w:ilvl w:val="0"/>
          <w:numId w:val="9"/>
        </w:numPr>
        <w:spacing w:before="240" w:after="240"/>
        <w:ind w:left="720"/>
        <w:rPr>
          <w:rFonts w:ascii="Calibri Light" w:hAnsi="Calibri Light" w:cs="Calibri Light"/>
          <w:color w:val="62B5E5"/>
          <w:u w:val="single"/>
        </w:rPr>
      </w:pPr>
      <w:hyperlink r:id="rId22" w:anchor="b6255955-3e22-11e6-8541-4bbd40d44610" w:history="1">
        <w:r w:rsidR="00006D68" w:rsidRPr="009A6F93">
          <w:rPr>
            <w:rStyle w:val="Hyperlink"/>
            <w:rFonts w:ascii="Calibri Light" w:hAnsi="Calibri Light" w:cs="Calibri Light"/>
          </w:rPr>
          <w:t xml:space="preserve">815-25-35, </w:t>
        </w:r>
        <w:r w:rsidR="00006D68" w:rsidRPr="009A6F93">
          <w:rPr>
            <w:rStyle w:val="Hyperlink"/>
            <w:rFonts w:ascii="Calibri Light" w:hAnsi="Calibri Light" w:cs="Calibri Light"/>
            <w:i/>
            <w:iCs/>
          </w:rPr>
          <w:t>Derivatives and Hedging — Fair Value Hedges — Subsequent Measurement</w:t>
        </w:r>
      </w:hyperlink>
    </w:p>
    <w:p w14:paraId="7541C1F4" w14:textId="7FC1E756" w:rsidR="00006D68" w:rsidRPr="00006D68" w:rsidRDefault="00424CD8" w:rsidP="003747DC">
      <w:pPr>
        <w:pStyle w:val="PABullet1"/>
        <w:numPr>
          <w:ilvl w:val="0"/>
          <w:numId w:val="9"/>
        </w:numPr>
        <w:spacing w:before="240" w:after="240"/>
        <w:ind w:left="720"/>
        <w:rPr>
          <w:rFonts w:ascii="Calibri Light" w:hAnsi="Calibri Light" w:cs="Calibri Light"/>
          <w:color w:val="62B5E5"/>
          <w:u w:val="single"/>
        </w:rPr>
      </w:pPr>
      <w:hyperlink r:id="rId23" w:anchor="a45cbd72-3e22-11e6-8541-5b23535ce534" w:history="1">
        <w:r w:rsidR="00006D68" w:rsidRPr="009A6F93">
          <w:rPr>
            <w:rStyle w:val="Hyperlink"/>
            <w:rFonts w:ascii="Calibri Light" w:hAnsi="Calibri Light" w:cs="Calibri Light"/>
          </w:rPr>
          <w:t xml:space="preserve">815-25-40, </w:t>
        </w:r>
        <w:r w:rsidR="00006D68" w:rsidRPr="009A6F93">
          <w:rPr>
            <w:rStyle w:val="Hyperlink"/>
            <w:rFonts w:ascii="Calibri Light" w:hAnsi="Calibri Light" w:cs="Calibri Light"/>
            <w:i/>
            <w:iCs/>
          </w:rPr>
          <w:t>Derivatives and Hedging — Fair Value Hedges — Derecognition</w:t>
        </w:r>
      </w:hyperlink>
    </w:p>
    <w:p w14:paraId="30D4A640" w14:textId="795F1FE9" w:rsidR="00006D68" w:rsidRPr="00006D68" w:rsidRDefault="00424CD8" w:rsidP="003747DC">
      <w:pPr>
        <w:pStyle w:val="PABullet1"/>
        <w:numPr>
          <w:ilvl w:val="0"/>
          <w:numId w:val="9"/>
        </w:numPr>
        <w:spacing w:before="240" w:after="240"/>
        <w:ind w:left="720"/>
        <w:rPr>
          <w:rFonts w:ascii="Calibri Light" w:hAnsi="Calibri Light" w:cs="Calibri Light"/>
          <w:color w:val="62B5E5"/>
          <w:u w:val="single"/>
        </w:rPr>
      </w:pPr>
      <w:hyperlink r:id="rId24" w:anchor="52aa774d-3e5e-11e6-8541-b5f2d8c97b27" w:history="1">
        <w:r w:rsidR="00006D68" w:rsidRPr="009A6F93">
          <w:rPr>
            <w:rStyle w:val="Hyperlink"/>
            <w:rFonts w:ascii="Calibri Light" w:hAnsi="Calibri Light" w:cs="Calibri Light"/>
          </w:rPr>
          <w:t xml:space="preserve">860-20-40, </w:t>
        </w:r>
        <w:r w:rsidR="00006D68" w:rsidRPr="009A6F93">
          <w:rPr>
            <w:rStyle w:val="Hyperlink"/>
            <w:rFonts w:ascii="Calibri Light" w:hAnsi="Calibri Light" w:cs="Calibri Light"/>
            <w:i/>
            <w:iCs/>
          </w:rPr>
          <w:t>Transfers and Servicing — Sales of Financial Assets — Derecognition</w:t>
        </w:r>
      </w:hyperlink>
    </w:p>
    <w:p w14:paraId="5FB3BFA0" w14:textId="62AF5B14" w:rsidR="00006D68" w:rsidRPr="00AE47F3" w:rsidRDefault="00424CD8" w:rsidP="003747DC">
      <w:pPr>
        <w:pStyle w:val="PABullet1"/>
        <w:numPr>
          <w:ilvl w:val="0"/>
          <w:numId w:val="9"/>
        </w:numPr>
        <w:spacing w:before="240" w:after="240"/>
        <w:ind w:left="720"/>
        <w:rPr>
          <w:rStyle w:val="Hyperlink"/>
          <w:rFonts w:ascii="Calibri Light" w:hAnsi="Calibri Light" w:cs="Calibri Light"/>
        </w:rPr>
      </w:pPr>
      <w:hyperlink r:id="rId25" w:anchor="0f46f42d-3e9b-11e6-8541-394601341d4e" w:history="1">
        <w:r w:rsidR="00006D68" w:rsidRPr="009A6F93">
          <w:rPr>
            <w:rStyle w:val="Hyperlink"/>
            <w:rFonts w:ascii="Calibri Light" w:hAnsi="Calibri Light" w:cs="Calibri Light"/>
          </w:rPr>
          <w:t xml:space="preserve">948-310-35, </w:t>
        </w:r>
        <w:r w:rsidR="00006D68" w:rsidRPr="009A6F93">
          <w:rPr>
            <w:rStyle w:val="Hyperlink"/>
            <w:rFonts w:ascii="Calibri Light" w:hAnsi="Calibri Light" w:cs="Calibri Light"/>
            <w:i/>
            <w:iCs/>
          </w:rPr>
          <w:t>Financial Services — Mortgage Banking — Receivables — Subsequent Measurement</w:t>
        </w:r>
      </w:hyperlink>
    </w:p>
    <w:p w14:paraId="1DA36A33" w14:textId="006B8A26" w:rsidR="009B68CA" w:rsidRPr="00726321" w:rsidRDefault="00912204" w:rsidP="00912204">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00CC323F"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00927B3B" w:rsidRPr="00493116">
        <w:rPr>
          <w:rFonts w:ascii="Calibri Light" w:hAnsi="Calibri Light" w:cs="Calibri Light"/>
        </w:rPr>
        <w:t>:</w:t>
      </w:r>
    </w:p>
    <w:p w14:paraId="6585E2AB" w14:textId="2E807B62" w:rsidR="004A48A8" w:rsidRPr="004A48A8" w:rsidRDefault="00424CD8" w:rsidP="00AC1F78">
      <w:pPr>
        <w:pStyle w:val="PABullet1"/>
        <w:numPr>
          <w:ilvl w:val="0"/>
          <w:numId w:val="9"/>
        </w:numPr>
        <w:spacing w:before="240" w:after="240"/>
        <w:ind w:left="720"/>
        <w:rPr>
          <w:rFonts w:ascii="Calibri Light" w:hAnsi="Calibri Light" w:cs="Calibri Light"/>
          <w:color w:val="62B5E5"/>
          <w:u w:val="single"/>
        </w:rPr>
      </w:pPr>
      <w:hyperlink r:id="rId26" w:anchor="56f3332f-3de6-11e6-8541-c770e9f58710" w:history="1">
        <w:r w:rsidR="004A48A8" w:rsidRPr="009A6F93">
          <w:rPr>
            <w:rStyle w:val="Hyperlink"/>
            <w:rFonts w:ascii="Calibri Light" w:hAnsi="Calibri Light" w:cs="Calibri Light"/>
          </w:rPr>
          <w:t xml:space="preserve">326-20-55, </w:t>
        </w:r>
        <w:r w:rsidR="004A48A8" w:rsidRPr="009A6F93">
          <w:rPr>
            <w:rStyle w:val="Hyperlink"/>
            <w:rFonts w:ascii="Calibri Light" w:hAnsi="Calibri Light" w:cs="Calibri Light"/>
            <w:i/>
            <w:iCs/>
          </w:rPr>
          <w:t>Financial Instruments — Credit Losses — Measured at Amortized Cost — Implementation</w:t>
        </w:r>
      </w:hyperlink>
    </w:p>
    <w:p w14:paraId="3D67AE4A" w14:textId="4228A0E5" w:rsidR="000219C6" w:rsidRPr="00006D68" w:rsidRDefault="00424CD8" w:rsidP="00AC1F78">
      <w:pPr>
        <w:pStyle w:val="PABullet1"/>
        <w:numPr>
          <w:ilvl w:val="0"/>
          <w:numId w:val="9"/>
        </w:numPr>
        <w:spacing w:before="240" w:after="240"/>
        <w:ind w:left="720"/>
        <w:rPr>
          <w:rFonts w:ascii="Calibri Light" w:hAnsi="Calibri Light" w:cs="Calibri Light"/>
          <w:color w:val="62B5E5"/>
          <w:u w:val="single"/>
        </w:rPr>
      </w:pPr>
      <w:hyperlink r:id="rId27" w:anchor="b480e362-3e20-11e6-8541-5b22602e9816" w:history="1">
        <w:r w:rsidR="004A48A8" w:rsidRPr="009A6F93">
          <w:rPr>
            <w:rStyle w:val="Hyperlink"/>
            <w:rFonts w:ascii="Calibri Light" w:hAnsi="Calibri Light" w:cs="Calibri Light"/>
          </w:rPr>
          <w:t xml:space="preserve">815-10-55, </w:t>
        </w:r>
        <w:r w:rsidR="004A48A8" w:rsidRPr="009A6F93">
          <w:rPr>
            <w:rStyle w:val="Hyperlink"/>
            <w:rFonts w:ascii="Calibri Light" w:hAnsi="Calibri Light" w:cs="Calibri Light"/>
            <w:i/>
            <w:iCs/>
          </w:rPr>
          <w:t>Derivatives and Hedging — Overall — Implementation</w:t>
        </w:r>
      </w:hyperlink>
    </w:p>
    <w:p w14:paraId="1DA32A27" w14:textId="35496A46" w:rsidR="00006D68" w:rsidRPr="00AE47F3" w:rsidRDefault="00424CD8" w:rsidP="00006D68">
      <w:pPr>
        <w:pStyle w:val="PABullet1"/>
        <w:numPr>
          <w:ilvl w:val="0"/>
          <w:numId w:val="9"/>
        </w:numPr>
        <w:spacing w:before="240" w:after="240"/>
        <w:ind w:left="720"/>
        <w:rPr>
          <w:rStyle w:val="Hyperlink"/>
          <w:rFonts w:ascii="Calibri Light" w:hAnsi="Calibri Light" w:cs="Calibri Light"/>
        </w:rPr>
      </w:pPr>
      <w:hyperlink r:id="rId28" w:anchor="c523b2b6-3e22-11e6-8541-63f6c9fc2fd4" w:history="1">
        <w:r w:rsidR="00006D68" w:rsidRPr="009A6F93">
          <w:rPr>
            <w:rStyle w:val="Hyperlink"/>
            <w:rFonts w:ascii="Calibri Light" w:hAnsi="Calibri Light" w:cs="Calibri Light"/>
          </w:rPr>
          <w:t xml:space="preserve">815-20-55, </w:t>
        </w:r>
        <w:r w:rsidR="00006D68" w:rsidRPr="009A6F93">
          <w:rPr>
            <w:rStyle w:val="Hyperlink"/>
            <w:rFonts w:ascii="Calibri Light" w:hAnsi="Calibri Light" w:cs="Calibri Light"/>
            <w:i/>
            <w:iCs/>
          </w:rPr>
          <w:t>Derivatives and Hedging — Hedging — General — Implementation</w:t>
        </w:r>
      </w:hyperlink>
    </w:p>
    <w:p w14:paraId="4AEA67F6" w14:textId="1A2625EC" w:rsidR="00006D68" w:rsidRPr="00006D68" w:rsidRDefault="00424CD8" w:rsidP="00AC1F78">
      <w:pPr>
        <w:pStyle w:val="PABullet1"/>
        <w:numPr>
          <w:ilvl w:val="0"/>
          <w:numId w:val="9"/>
        </w:numPr>
        <w:spacing w:before="240" w:after="240"/>
        <w:ind w:left="720"/>
        <w:rPr>
          <w:rFonts w:ascii="Calibri Light" w:hAnsi="Calibri Light" w:cs="Calibri Light"/>
          <w:color w:val="62B5E5"/>
          <w:u w:val="single"/>
        </w:rPr>
      </w:pPr>
      <w:hyperlink r:id="rId29" w:anchor="5eededd3-3e22-11e6-8541-bbab151d0206" w:history="1">
        <w:r w:rsidR="00006D68" w:rsidRPr="009A6F93">
          <w:rPr>
            <w:rStyle w:val="Hyperlink"/>
            <w:rFonts w:ascii="Calibri Light" w:hAnsi="Calibri Light" w:cs="Calibri Light"/>
          </w:rPr>
          <w:t xml:space="preserve">815-25-55, </w:t>
        </w:r>
        <w:r w:rsidR="00006D68" w:rsidRPr="009A6F93">
          <w:rPr>
            <w:rStyle w:val="Hyperlink"/>
            <w:rFonts w:ascii="Calibri Light" w:hAnsi="Calibri Light" w:cs="Calibri Light"/>
            <w:i/>
            <w:iCs/>
          </w:rPr>
          <w:t>Derivatives and Hedging — Fair Value Hedges — Implementation</w:t>
        </w:r>
      </w:hyperlink>
    </w:p>
    <w:p w14:paraId="47BD8F81" w14:textId="6FC8079C" w:rsidR="00006D68" w:rsidRPr="00E86594" w:rsidRDefault="00424CD8" w:rsidP="00AC1F78">
      <w:pPr>
        <w:pStyle w:val="PABullet1"/>
        <w:numPr>
          <w:ilvl w:val="0"/>
          <w:numId w:val="9"/>
        </w:numPr>
        <w:spacing w:before="240" w:after="240"/>
        <w:ind w:left="720"/>
        <w:rPr>
          <w:rStyle w:val="Hyperlink"/>
          <w:rFonts w:ascii="Calibri Light" w:hAnsi="Calibri Light" w:cs="Calibri Light"/>
        </w:rPr>
      </w:pPr>
      <w:hyperlink r:id="rId30" w:anchor="2c21a0e0-3e17-11e6-8541-715eaa5d72da" w:history="1">
        <w:r w:rsidR="00006D68" w:rsidRPr="009A6F93">
          <w:rPr>
            <w:rStyle w:val="Hyperlink"/>
            <w:rFonts w:ascii="Calibri Light" w:hAnsi="Calibri Light" w:cs="Calibri Light"/>
          </w:rPr>
          <w:t xml:space="preserve">815-20-65, </w:t>
        </w:r>
        <w:r w:rsidR="00006D68" w:rsidRPr="009A6F93">
          <w:rPr>
            <w:rStyle w:val="Hyperlink"/>
            <w:rFonts w:ascii="Calibri Light" w:hAnsi="Calibri Light" w:cs="Calibri Light"/>
            <w:i/>
            <w:iCs/>
          </w:rPr>
          <w:t>Derivatives and Hedging — Hedging — General — Transition</w:t>
        </w:r>
      </w:hyperlink>
    </w:p>
    <w:p w14:paraId="06345544" w14:textId="67851E08" w:rsidR="00E86594" w:rsidRPr="00F00367" w:rsidRDefault="00424CD8" w:rsidP="00E86594">
      <w:pPr>
        <w:pStyle w:val="PABulletLink75IND"/>
        <w:numPr>
          <w:ilvl w:val="0"/>
          <w:numId w:val="10"/>
        </w:numPr>
        <w:spacing w:before="0" w:after="240"/>
        <w:ind w:left="270" w:hanging="270"/>
        <w:rPr>
          <w:rStyle w:val="Hyperlink"/>
          <w:rFonts w:ascii="Calibri Light" w:hAnsi="Calibri Light" w:cs="Calibri Light"/>
          <w:b/>
          <w:iCs/>
        </w:rPr>
      </w:pPr>
      <w:hyperlink r:id="rId31" w:history="1">
        <w:r w:rsidR="00E86594" w:rsidRPr="00F747FA">
          <w:rPr>
            <w:rStyle w:val="Hyperlink"/>
            <w:rFonts w:ascii="Calibri Light" w:hAnsi="Calibri Light" w:cs="Calibri Light"/>
            <w:b/>
            <w:iCs/>
          </w:rPr>
          <w:t xml:space="preserve">2022-02 — </w:t>
        </w:r>
        <w:r w:rsidR="00E86594" w:rsidRPr="00F747FA">
          <w:rPr>
            <w:rStyle w:val="Hyperlink"/>
            <w:rFonts w:ascii="Calibri Light" w:hAnsi="Calibri Light" w:cs="Calibri Light"/>
            <w:b/>
            <w:i/>
          </w:rPr>
          <w:t>Financial Instruments—Credit Losses (Topic 326): Troubled Debt Restructurings and Vintage Disclosures</w:t>
        </w:r>
      </w:hyperlink>
    </w:p>
    <w:p w14:paraId="20B7C7CE" w14:textId="77777777" w:rsidR="00E86594" w:rsidRDefault="00E86594" w:rsidP="00E86594">
      <w:pPr>
        <w:rPr>
          <w:rFonts w:ascii="Calibri Light" w:hAnsi="Calibri Light" w:cs="Calibri Light"/>
        </w:rPr>
      </w:pPr>
      <w:r w:rsidRPr="00191D9F">
        <w:rPr>
          <w:rFonts w:ascii="Calibri Light" w:hAnsi="Calibri Light" w:cs="Calibri Light"/>
        </w:rPr>
        <w:t>As a result of th</w:t>
      </w:r>
      <w:r>
        <w:rPr>
          <w:rFonts w:ascii="Calibri Light" w:hAnsi="Calibri Light" w:cs="Calibri Light"/>
        </w:rPr>
        <w:t xml:space="preserve">is </w:t>
      </w:r>
      <w:r w:rsidRPr="00191D9F">
        <w:rPr>
          <w:rFonts w:ascii="Calibri Light" w:hAnsi="Calibri Light" w:cs="Calibri Light"/>
        </w:rPr>
        <w:t>ASU, the following section</w:t>
      </w:r>
      <w:r>
        <w:rPr>
          <w:rFonts w:ascii="Calibri Light" w:hAnsi="Calibri Light" w:cs="Calibri Light"/>
        </w:rPr>
        <w:t>s</w:t>
      </w:r>
      <w:r w:rsidRPr="00191D9F">
        <w:rPr>
          <w:rFonts w:ascii="Calibri Light" w:hAnsi="Calibri Light" w:cs="Calibri Light"/>
        </w:rPr>
        <w:t xml:space="preserve"> h</w:t>
      </w:r>
      <w:r>
        <w:rPr>
          <w:rFonts w:ascii="Calibri Light" w:hAnsi="Calibri Light" w:cs="Calibri Light"/>
        </w:rPr>
        <w:t>ave</w:t>
      </w:r>
      <w:r w:rsidRPr="00191D9F">
        <w:rPr>
          <w:rFonts w:ascii="Calibri Light" w:hAnsi="Calibri Light" w:cs="Calibri Light"/>
        </w:rPr>
        <w:t xml:space="preserve"> been updated in the U.S. GAAP Checklist:</w:t>
      </w:r>
    </w:p>
    <w:p w14:paraId="4578E2DB" w14:textId="3944224A"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2" w:anchor="b7a37c0f-3ddd-11e6-8541-63952cead847" w:history="1">
        <w:r w:rsidR="00E86594" w:rsidRPr="00E86594">
          <w:rPr>
            <w:rStyle w:val="Hyperlink"/>
            <w:rFonts w:ascii="Calibri Light" w:hAnsi="Calibri Light" w:cs="Calibri Light"/>
          </w:rPr>
          <w:t xml:space="preserve">270-10-50, </w:t>
        </w:r>
        <w:r w:rsidR="00E86594" w:rsidRPr="00E86594">
          <w:rPr>
            <w:rStyle w:val="Hyperlink"/>
            <w:rFonts w:ascii="Calibri Light" w:hAnsi="Calibri Light" w:cs="Calibri Light"/>
            <w:i/>
            <w:iCs/>
          </w:rPr>
          <w:t>Interim Reporting — Overall — Disclosure</w:t>
        </w:r>
      </w:hyperlink>
    </w:p>
    <w:p w14:paraId="45B26AF4" w14:textId="581E84EE"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3" w:anchor="427fc5df-3ddf-11e6-8541-a9799912016c" w:history="1">
        <w:r w:rsidR="00E86594" w:rsidRPr="00E86594">
          <w:rPr>
            <w:rStyle w:val="Hyperlink"/>
            <w:rFonts w:ascii="Calibri Light" w:hAnsi="Calibri Light" w:cs="Calibri Light"/>
          </w:rPr>
          <w:t xml:space="preserve">310-10-40, </w:t>
        </w:r>
        <w:r w:rsidR="00E86594" w:rsidRPr="00E86594">
          <w:rPr>
            <w:rStyle w:val="Hyperlink"/>
            <w:rFonts w:ascii="Calibri Light" w:hAnsi="Calibri Light" w:cs="Calibri Light"/>
            <w:i/>
            <w:iCs/>
          </w:rPr>
          <w:t>Receivables — Overall — Derecognition</w:t>
        </w:r>
      </w:hyperlink>
    </w:p>
    <w:p w14:paraId="5AD7C94E" w14:textId="4591A2B9"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4" w:anchor="65a592d3-3ddf-11e6-8541-1329defefd97" w:history="1">
        <w:r w:rsidR="00E86594" w:rsidRPr="00E71412">
          <w:rPr>
            <w:rStyle w:val="Hyperlink"/>
            <w:rFonts w:ascii="Calibri Light" w:hAnsi="Calibri Light" w:cs="Calibri Light"/>
          </w:rPr>
          <w:t xml:space="preserve">310-10-50, </w:t>
        </w:r>
        <w:r w:rsidR="00E86594" w:rsidRPr="00E71412">
          <w:rPr>
            <w:rStyle w:val="Hyperlink"/>
            <w:rFonts w:ascii="Calibri Light" w:hAnsi="Calibri Light" w:cs="Calibri Light"/>
            <w:i/>
            <w:iCs/>
          </w:rPr>
          <w:t>Receivables — Overall — Disclosure</w:t>
        </w:r>
      </w:hyperlink>
    </w:p>
    <w:p w14:paraId="362D8065" w14:textId="7191EDFD"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5" w:history="1">
        <w:r w:rsidR="00E86594" w:rsidRPr="00E71412">
          <w:rPr>
            <w:rStyle w:val="Hyperlink"/>
            <w:rFonts w:ascii="Calibri Light" w:hAnsi="Calibri Light" w:cs="Calibri Light"/>
          </w:rPr>
          <w:t xml:space="preserve">310-20-35, </w:t>
        </w:r>
        <w:r w:rsidR="00E71412" w:rsidRPr="00E71412">
          <w:rPr>
            <w:rStyle w:val="Hyperlink"/>
            <w:rFonts w:ascii="Calibri Light" w:hAnsi="Calibri Light" w:cs="Calibri Light"/>
            <w:i/>
            <w:iCs/>
          </w:rPr>
          <w:t>Receivables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 xml:space="preserve">Nonrefundable Fees and Other Costs </w:t>
        </w:r>
        <w:r w:rsidR="00E86594" w:rsidRPr="00E71412">
          <w:rPr>
            <w:rStyle w:val="Hyperlink"/>
            <w:rFonts w:ascii="Calibri Light" w:hAnsi="Calibri Light" w:cs="Calibri Light"/>
            <w:i/>
            <w:iCs/>
          </w:rPr>
          <w:t xml:space="preserve">— </w:t>
        </w:r>
        <w:r w:rsidR="00E71412" w:rsidRPr="00E71412">
          <w:rPr>
            <w:rStyle w:val="Hyperlink"/>
            <w:rFonts w:ascii="Calibri Light" w:hAnsi="Calibri Light" w:cs="Calibri Light"/>
            <w:i/>
            <w:iCs/>
          </w:rPr>
          <w:t>Subsequent Measurement</w:t>
        </w:r>
      </w:hyperlink>
    </w:p>
    <w:p w14:paraId="2509B6B6" w14:textId="1F2CFC20" w:rsidR="00E86594" w:rsidRPr="00E71412" w:rsidRDefault="00424CD8" w:rsidP="00E71412">
      <w:pPr>
        <w:pStyle w:val="PABullet1"/>
        <w:numPr>
          <w:ilvl w:val="0"/>
          <w:numId w:val="9"/>
        </w:numPr>
        <w:spacing w:before="240" w:after="240"/>
        <w:ind w:left="720"/>
        <w:rPr>
          <w:rStyle w:val="Hyperlink"/>
          <w:rFonts w:ascii="Calibri Light" w:hAnsi="Calibri Light" w:cs="Calibri Light"/>
        </w:rPr>
      </w:pPr>
      <w:hyperlink r:id="rId36" w:anchor="d0bdea85-3dde-11e6-8541-f981d960e0dc" w:history="1">
        <w:r w:rsidR="00E86594" w:rsidRPr="00E71412">
          <w:rPr>
            <w:rStyle w:val="Hyperlink"/>
            <w:rFonts w:ascii="Calibri Light" w:hAnsi="Calibri Light" w:cs="Calibri Light"/>
          </w:rPr>
          <w:t xml:space="preserve">310-20-40, </w:t>
        </w:r>
        <w:r w:rsidR="00E71412" w:rsidRPr="00E71412">
          <w:rPr>
            <w:rStyle w:val="Hyperlink"/>
            <w:rFonts w:ascii="Calibri Light" w:hAnsi="Calibri Light" w:cs="Calibri Light"/>
            <w:i/>
            <w:iCs/>
          </w:rPr>
          <w:t>Receivables — Nonrefundable Fees and Other Costs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Derecognition</w:t>
        </w:r>
      </w:hyperlink>
    </w:p>
    <w:p w14:paraId="6CADA89C" w14:textId="08173060"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7" w:anchor="3ffb8834-3de6-11e6-8541-4b82a260bf5c" w:history="1">
        <w:r w:rsidR="00E86594" w:rsidRPr="00E71412">
          <w:rPr>
            <w:rStyle w:val="Hyperlink"/>
            <w:rFonts w:ascii="Calibri Light" w:hAnsi="Calibri Light" w:cs="Calibri Light"/>
          </w:rPr>
          <w:t xml:space="preserve">326-20-30, </w:t>
        </w:r>
        <w:r w:rsidR="00E86594" w:rsidRPr="00E71412">
          <w:rPr>
            <w:rStyle w:val="Hyperlink"/>
            <w:rFonts w:ascii="Calibri Light" w:hAnsi="Calibri Light" w:cs="Calibri Light"/>
            <w:i/>
            <w:iCs/>
          </w:rPr>
          <w:t xml:space="preserve">Financial Instruments — Credit Losses — Measured at Amortized Cost — </w:t>
        </w:r>
        <w:r w:rsidR="00E71412" w:rsidRPr="00E71412">
          <w:rPr>
            <w:rStyle w:val="Hyperlink"/>
            <w:rFonts w:ascii="Calibri Light" w:hAnsi="Calibri Light" w:cs="Calibri Light"/>
            <w:i/>
            <w:iCs/>
          </w:rPr>
          <w:t>Initial Measurement</w:t>
        </w:r>
      </w:hyperlink>
    </w:p>
    <w:bookmarkStart w:id="4" w:name="_Hlk99748394"/>
    <w:p w14:paraId="7749FE4C" w14:textId="22B6A8AA" w:rsidR="00E86594" w:rsidRPr="00E71412" w:rsidRDefault="00E71412" w:rsidP="00E71412">
      <w:pPr>
        <w:pStyle w:val="PABullet1"/>
        <w:numPr>
          <w:ilvl w:val="0"/>
          <w:numId w:val="9"/>
        </w:numPr>
        <w:spacing w:before="240" w:after="240"/>
        <w:ind w:left="720"/>
        <w:rPr>
          <w:rStyle w:val="Hyperlink"/>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HYPERLINK "https://dart.deloitte.com/USDART/home/codification/assets/32x/asc326-20-50" \l "918ce0ba-3de6-11e6-8541-370a0adafc82" </w:instrText>
      </w:r>
      <w:r>
        <w:rPr>
          <w:rFonts w:ascii="Calibri Light" w:hAnsi="Calibri Light" w:cs="Calibri Light"/>
        </w:rPr>
        <w:fldChar w:fldCharType="separate"/>
      </w:r>
      <w:r w:rsidR="00E86594" w:rsidRPr="00E71412">
        <w:rPr>
          <w:rStyle w:val="Hyperlink"/>
          <w:rFonts w:ascii="Calibri Light" w:hAnsi="Calibri Light" w:cs="Calibri Light"/>
        </w:rPr>
        <w:t xml:space="preserve">326-20-50, </w:t>
      </w:r>
      <w:r w:rsidR="00E86594" w:rsidRPr="00E71412">
        <w:rPr>
          <w:rStyle w:val="Hyperlink"/>
          <w:rFonts w:ascii="Calibri Light" w:hAnsi="Calibri Light" w:cs="Calibri Light"/>
          <w:i/>
          <w:iCs/>
        </w:rPr>
        <w:t xml:space="preserve">Financial Instruments — Credit Losses — Measured at Amortized Cost — </w:t>
      </w:r>
      <w:bookmarkEnd w:id="4"/>
      <w:r w:rsidRPr="00E71412">
        <w:rPr>
          <w:rStyle w:val="Hyperlink"/>
          <w:rFonts w:ascii="Calibri Light" w:hAnsi="Calibri Light" w:cs="Calibri Light"/>
          <w:i/>
          <w:iCs/>
        </w:rPr>
        <w:t>Disclosure</w:t>
      </w:r>
      <w:r>
        <w:rPr>
          <w:rFonts w:ascii="Calibri Light" w:hAnsi="Calibri Light" w:cs="Calibri Light"/>
        </w:rPr>
        <w:fldChar w:fldCharType="end"/>
      </w:r>
    </w:p>
    <w:p w14:paraId="669130BD" w14:textId="1FB15CBD"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8" w:anchor="af6d8f9d-3dd5-11e6-8541-fb8c27b009b1" w:history="1">
        <w:r w:rsidR="00E86594" w:rsidRPr="00E71412">
          <w:rPr>
            <w:rStyle w:val="Hyperlink"/>
            <w:rFonts w:ascii="Calibri Light" w:hAnsi="Calibri Light" w:cs="Calibri Light"/>
          </w:rPr>
          <w:t xml:space="preserve">360-10-35, </w:t>
        </w:r>
        <w:r w:rsidR="00E71412" w:rsidRPr="00E71412">
          <w:rPr>
            <w:rStyle w:val="Hyperlink"/>
            <w:rFonts w:ascii="Calibri Light" w:hAnsi="Calibri Light" w:cs="Calibri Light"/>
            <w:i/>
            <w:iCs/>
          </w:rPr>
          <w:t>Property, Plant and Equipment</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Overall</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Subsequent Measurement</w:t>
        </w:r>
      </w:hyperlink>
    </w:p>
    <w:p w14:paraId="6260A731" w14:textId="4CB8F37E"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39" w:anchor="74162029-3e58-11e6-8541-e7e69fd5870b" w:history="1">
        <w:r w:rsidR="00E86594" w:rsidRPr="00E71412">
          <w:rPr>
            <w:rStyle w:val="Hyperlink"/>
            <w:rFonts w:ascii="Calibri Light" w:hAnsi="Calibri Light" w:cs="Calibri Light"/>
          </w:rPr>
          <w:t xml:space="preserve">842-50-50, </w:t>
        </w:r>
        <w:r w:rsidR="00E71412" w:rsidRPr="00E71412">
          <w:rPr>
            <w:rStyle w:val="Hyperlink"/>
            <w:rFonts w:ascii="Calibri Light" w:hAnsi="Calibri Light" w:cs="Calibri Light"/>
            <w:i/>
            <w:iCs/>
          </w:rPr>
          <w:t>Leases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Leveraged Lease Arrangements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Disclosure</w:t>
        </w:r>
      </w:hyperlink>
    </w:p>
    <w:p w14:paraId="2DA66C27" w14:textId="1B41896C"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40" w:anchor="5f8c8b3d-3e5f-11e6-8541-f7a97d5a10cb" w:history="1">
        <w:r w:rsidR="00E86594" w:rsidRPr="00E71412">
          <w:rPr>
            <w:rStyle w:val="Hyperlink"/>
            <w:rFonts w:ascii="Calibri Light" w:hAnsi="Calibri Light" w:cs="Calibri Light"/>
          </w:rPr>
          <w:t xml:space="preserve">942-310-30, </w:t>
        </w:r>
        <w:r w:rsidR="00E86594" w:rsidRPr="00E71412">
          <w:rPr>
            <w:rStyle w:val="Hyperlink"/>
            <w:rFonts w:ascii="Calibri Light" w:hAnsi="Calibri Light" w:cs="Calibri Light"/>
            <w:i/>
            <w:iCs/>
          </w:rPr>
          <w:t xml:space="preserve">Financial </w:t>
        </w:r>
        <w:r w:rsidR="00E71412" w:rsidRPr="00E71412">
          <w:rPr>
            <w:rStyle w:val="Hyperlink"/>
            <w:rFonts w:ascii="Calibri Light" w:hAnsi="Calibri Light" w:cs="Calibri Light"/>
            <w:i/>
            <w:iCs/>
          </w:rPr>
          <w:t>Services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Depository and Lending</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Receivables — Initial Measurement</w:t>
        </w:r>
      </w:hyperlink>
    </w:p>
    <w:p w14:paraId="1EBA73BD" w14:textId="27A2DD67" w:rsidR="00E86594" w:rsidRPr="004A48A8" w:rsidRDefault="00424CD8" w:rsidP="00E86594">
      <w:pPr>
        <w:pStyle w:val="PABullet1"/>
        <w:numPr>
          <w:ilvl w:val="0"/>
          <w:numId w:val="9"/>
        </w:numPr>
        <w:spacing w:before="240" w:after="240"/>
        <w:ind w:left="720"/>
        <w:rPr>
          <w:rFonts w:ascii="Calibri Light" w:hAnsi="Calibri Light" w:cs="Calibri Light"/>
          <w:color w:val="62B5E5"/>
          <w:u w:val="single"/>
        </w:rPr>
      </w:pPr>
      <w:hyperlink r:id="rId41" w:anchor="7815808c-3e8b-11e6-8541-59e911d607a5" w:history="1">
        <w:r w:rsidR="00E86594" w:rsidRPr="00E71412">
          <w:rPr>
            <w:rStyle w:val="Hyperlink"/>
            <w:rFonts w:ascii="Calibri Light" w:hAnsi="Calibri Light" w:cs="Calibri Light"/>
          </w:rPr>
          <w:t xml:space="preserve">978-310-35, </w:t>
        </w:r>
        <w:r w:rsidR="00E71412" w:rsidRPr="00E71412">
          <w:rPr>
            <w:rStyle w:val="Hyperlink"/>
            <w:rFonts w:ascii="Calibri Light" w:hAnsi="Calibri Light" w:cs="Calibri Light"/>
            <w:i/>
            <w:iCs/>
          </w:rPr>
          <w:t>Real Estate</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Time Sharing Activities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Receivables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Subsequent Measurement</w:t>
        </w:r>
      </w:hyperlink>
    </w:p>
    <w:p w14:paraId="14CF61CD" w14:textId="77777777" w:rsidR="00E86594" w:rsidRPr="00726321" w:rsidRDefault="00E86594" w:rsidP="00E86594">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Pr="00493116">
        <w:rPr>
          <w:rFonts w:ascii="Calibri Light" w:hAnsi="Calibri Light" w:cs="Calibri Light"/>
        </w:rPr>
        <w:t>:</w:t>
      </w:r>
    </w:p>
    <w:p w14:paraId="72E7A5F3" w14:textId="3F1BC595" w:rsidR="00E86594" w:rsidRPr="00E71412" w:rsidRDefault="00424CD8" w:rsidP="00E86594">
      <w:pPr>
        <w:pStyle w:val="PABullet1"/>
        <w:numPr>
          <w:ilvl w:val="0"/>
          <w:numId w:val="9"/>
        </w:numPr>
        <w:spacing w:before="240" w:after="240"/>
        <w:ind w:left="720"/>
        <w:rPr>
          <w:rFonts w:ascii="Calibri Light" w:hAnsi="Calibri Light" w:cs="Calibri Light"/>
          <w:color w:val="62B5E5"/>
          <w:u w:val="single"/>
        </w:rPr>
      </w:pPr>
      <w:hyperlink r:id="rId42" w:anchor="222d641a-3ddf-11e6-8541-837b4ab83d96" w:history="1">
        <w:r w:rsidR="00E86594" w:rsidRPr="00E71412">
          <w:rPr>
            <w:rStyle w:val="Hyperlink"/>
            <w:rFonts w:ascii="Calibri Light" w:hAnsi="Calibri Light" w:cs="Calibri Light"/>
          </w:rPr>
          <w:t xml:space="preserve">310-10-05, </w:t>
        </w:r>
        <w:r w:rsidR="00E71412" w:rsidRPr="00E71412">
          <w:rPr>
            <w:rStyle w:val="Hyperlink"/>
            <w:rFonts w:ascii="Calibri Light" w:hAnsi="Calibri Light" w:cs="Calibri Light"/>
            <w:i/>
            <w:iCs/>
          </w:rPr>
          <w:t>Receivables</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Overall</w:t>
        </w:r>
        <w:r w:rsidR="00E86594" w:rsidRPr="00E71412">
          <w:rPr>
            <w:rStyle w:val="Hyperlink"/>
            <w:rFonts w:ascii="Calibri Light" w:hAnsi="Calibri Light" w:cs="Calibri Light"/>
            <w:i/>
            <w:iCs/>
          </w:rPr>
          <w:t xml:space="preserve"> — </w:t>
        </w:r>
        <w:r w:rsidR="00E71412" w:rsidRPr="00E71412">
          <w:rPr>
            <w:rStyle w:val="Hyperlink"/>
            <w:rFonts w:ascii="Calibri Light" w:hAnsi="Calibri Light" w:cs="Calibri Light"/>
            <w:i/>
            <w:iCs/>
          </w:rPr>
          <w:t>Background</w:t>
        </w:r>
      </w:hyperlink>
    </w:p>
    <w:p w14:paraId="38EFCA69" w14:textId="1587AC8B" w:rsidR="00E71412" w:rsidRPr="00E71412" w:rsidRDefault="00424CD8" w:rsidP="00E86594">
      <w:pPr>
        <w:pStyle w:val="PABullet1"/>
        <w:numPr>
          <w:ilvl w:val="0"/>
          <w:numId w:val="9"/>
        </w:numPr>
        <w:spacing w:before="240" w:after="240"/>
        <w:ind w:left="720"/>
        <w:rPr>
          <w:rFonts w:ascii="Calibri Light" w:hAnsi="Calibri Light" w:cs="Calibri Light"/>
          <w:color w:val="62B5E5"/>
          <w:u w:val="single"/>
        </w:rPr>
      </w:pPr>
      <w:hyperlink r:id="rId43" w:anchor="658b7b22-3ddf-11e6-8541-fbf089708ac8" w:history="1">
        <w:r w:rsidR="00E71412" w:rsidRPr="00A571A3">
          <w:rPr>
            <w:rStyle w:val="Hyperlink"/>
            <w:rFonts w:ascii="Calibri Light" w:hAnsi="Calibri Light" w:cs="Calibri Light"/>
          </w:rPr>
          <w:t xml:space="preserve">310-10-55, </w:t>
        </w:r>
        <w:r w:rsidR="00E71412" w:rsidRPr="00A571A3">
          <w:rPr>
            <w:rStyle w:val="Hyperlink"/>
            <w:rFonts w:ascii="Calibri Light" w:hAnsi="Calibri Light" w:cs="Calibri Light"/>
            <w:i/>
            <w:iCs/>
          </w:rPr>
          <w:t>Receivables — Overall — Implementation</w:t>
        </w:r>
      </w:hyperlink>
    </w:p>
    <w:bookmarkStart w:id="5" w:name="_Hlk99748272"/>
    <w:p w14:paraId="274C46B8" w14:textId="50097597" w:rsidR="00E71412" w:rsidRPr="00E86594" w:rsidRDefault="00A571A3" w:rsidP="00E71412">
      <w:pPr>
        <w:pStyle w:val="PABullet1"/>
        <w:numPr>
          <w:ilvl w:val="0"/>
          <w:numId w:val="9"/>
        </w:numPr>
        <w:spacing w:before="240" w:after="240"/>
        <w:ind w:left="720"/>
        <w:rPr>
          <w:rStyle w:val="Hyperlink"/>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HYPERLINK "https://dart.deloitte.com/USDART/home/codification/assets/asc310-20-55" \l "f480e1ef-3dde-11e6-8541-71ccb36ea349" </w:instrText>
      </w:r>
      <w:r>
        <w:rPr>
          <w:rFonts w:ascii="Calibri Light" w:hAnsi="Calibri Light" w:cs="Calibri Light"/>
        </w:rPr>
        <w:fldChar w:fldCharType="separate"/>
      </w:r>
      <w:r w:rsidR="00E71412" w:rsidRPr="00A571A3">
        <w:rPr>
          <w:rStyle w:val="Hyperlink"/>
          <w:rFonts w:ascii="Calibri Light" w:hAnsi="Calibri Light" w:cs="Calibri Light"/>
        </w:rPr>
        <w:t xml:space="preserve">310-20-55, </w:t>
      </w:r>
      <w:r w:rsidRPr="00A571A3">
        <w:rPr>
          <w:rStyle w:val="Hyperlink"/>
          <w:rFonts w:ascii="Calibri Light" w:hAnsi="Calibri Light" w:cs="Calibri Light"/>
          <w:i/>
          <w:iCs/>
        </w:rPr>
        <w:t>Receivables</w:t>
      </w:r>
      <w:r w:rsidR="00E71412" w:rsidRPr="00A571A3">
        <w:rPr>
          <w:rStyle w:val="Hyperlink"/>
          <w:rFonts w:ascii="Calibri Light" w:hAnsi="Calibri Light" w:cs="Calibri Light"/>
          <w:i/>
          <w:iCs/>
        </w:rPr>
        <w:t xml:space="preserve"> — </w:t>
      </w:r>
      <w:r w:rsidRPr="00A571A3">
        <w:rPr>
          <w:rStyle w:val="Hyperlink"/>
          <w:rFonts w:ascii="Calibri Light" w:hAnsi="Calibri Light" w:cs="Calibri Light"/>
          <w:i/>
          <w:iCs/>
        </w:rPr>
        <w:t xml:space="preserve">Nonrefundable Fees and Other </w:t>
      </w:r>
      <w:r w:rsidR="00E71412" w:rsidRPr="00A571A3">
        <w:rPr>
          <w:rStyle w:val="Hyperlink"/>
          <w:rFonts w:ascii="Calibri Light" w:hAnsi="Calibri Light" w:cs="Calibri Light"/>
          <w:i/>
          <w:iCs/>
        </w:rPr>
        <w:t>Cost</w:t>
      </w:r>
      <w:r w:rsidRPr="00A571A3">
        <w:rPr>
          <w:rStyle w:val="Hyperlink"/>
          <w:rFonts w:ascii="Calibri Light" w:hAnsi="Calibri Light" w:cs="Calibri Light"/>
          <w:i/>
          <w:iCs/>
        </w:rPr>
        <w:t>s</w:t>
      </w:r>
      <w:r w:rsidR="00E71412" w:rsidRPr="00A571A3">
        <w:rPr>
          <w:rStyle w:val="Hyperlink"/>
          <w:rFonts w:ascii="Calibri Light" w:hAnsi="Calibri Light" w:cs="Calibri Light"/>
          <w:i/>
          <w:iCs/>
        </w:rPr>
        <w:t xml:space="preserve"> — Implementation</w:t>
      </w:r>
      <w:bookmarkEnd w:id="5"/>
      <w:r>
        <w:rPr>
          <w:rFonts w:ascii="Calibri Light" w:hAnsi="Calibri Light" w:cs="Calibri Light"/>
        </w:rPr>
        <w:fldChar w:fldCharType="end"/>
      </w:r>
    </w:p>
    <w:p w14:paraId="56AC33CE" w14:textId="624031C2" w:rsidR="00E71412" w:rsidRPr="00E86594" w:rsidRDefault="00424CD8" w:rsidP="00E71412">
      <w:pPr>
        <w:pStyle w:val="PABullet1"/>
        <w:numPr>
          <w:ilvl w:val="0"/>
          <w:numId w:val="9"/>
        </w:numPr>
        <w:spacing w:before="240" w:after="240"/>
        <w:ind w:left="720"/>
        <w:rPr>
          <w:rStyle w:val="Hyperlink"/>
          <w:rFonts w:ascii="Calibri Light" w:hAnsi="Calibri Light" w:cs="Calibri Light"/>
        </w:rPr>
      </w:pPr>
      <w:hyperlink r:id="rId44" w:history="1">
        <w:r w:rsidR="00E71412" w:rsidRPr="00A571A3">
          <w:rPr>
            <w:rStyle w:val="Hyperlink"/>
            <w:rFonts w:ascii="Calibri Light" w:hAnsi="Calibri Light" w:cs="Calibri Light"/>
          </w:rPr>
          <w:t xml:space="preserve">320-10-55, </w:t>
        </w:r>
        <w:r w:rsidR="00A571A3" w:rsidRPr="00A571A3">
          <w:rPr>
            <w:rStyle w:val="Hyperlink"/>
            <w:rFonts w:ascii="Calibri Light" w:hAnsi="Calibri Light" w:cs="Calibri Light"/>
            <w:i/>
            <w:iCs/>
          </w:rPr>
          <w:t>Investments</w:t>
        </w:r>
        <w:r w:rsidR="00E71412" w:rsidRPr="00A571A3">
          <w:rPr>
            <w:rStyle w:val="Hyperlink"/>
            <w:rFonts w:ascii="Calibri Light" w:hAnsi="Calibri Light" w:cs="Calibri Light"/>
            <w:i/>
            <w:iCs/>
          </w:rPr>
          <w:t xml:space="preserve"> — </w:t>
        </w:r>
        <w:r w:rsidR="00A571A3" w:rsidRPr="00A571A3">
          <w:rPr>
            <w:rStyle w:val="Hyperlink"/>
            <w:rFonts w:ascii="Calibri Light" w:hAnsi="Calibri Light" w:cs="Calibri Light"/>
            <w:i/>
            <w:iCs/>
          </w:rPr>
          <w:t>Debt Securities</w:t>
        </w:r>
        <w:r w:rsidR="00E71412" w:rsidRPr="00A571A3">
          <w:rPr>
            <w:rStyle w:val="Hyperlink"/>
            <w:rFonts w:ascii="Calibri Light" w:hAnsi="Calibri Light" w:cs="Calibri Light"/>
            <w:i/>
            <w:iCs/>
          </w:rPr>
          <w:t xml:space="preserve"> — </w:t>
        </w:r>
        <w:r w:rsidR="00A571A3" w:rsidRPr="00A571A3">
          <w:rPr>
            <w:rStyle w:val="Hyperlink"/>
            <w:rFonts w:ascii="Calibri Light" w:hAnsi="Calibri Light" w:cs="Calibri Light"/>
            <w:i/>
            <w:iCs/>
          </w:rPr>
          <w:t>Overall</w:t>
        </w:r>
        <w:r w:rsidR="00E71412" w:rsidRPr="00A571A3">
          <w:rPr>
            <w:rStyle w:val="Hyperlink"/>
            <w:rFonts w:ascii="Calibri Light" w:hAnsi="Calibri Light" w:cs="Calibri Light"/>
            <w:i/>
            <w:iCs/>
          </w:rPr>
          <w:t xml:space="preserve"> — Implementation</w:t>
        </w:r>
      </w:hyperlink>
    </w:p>
    <w:p w14:paraId="0C3094F2" w14:textId="0D8027CE" w:rsidR="00E86594" w:rsidRPr="00E71412" w:rsidRDefault="00424CD8" w:rsidP="00E86594">
      <w:pPr>
        <w:pStyle w:val="PABullet1"/>
        <w:numPr>
          <w:ilvl w:val="0"/>
          <w:numId w:val="9"/>
        </w:numPr>
        <w:spacing w:before="240" w:after="240"/>
        <w:ind w:left="720"/>
        <w:rPr>
          <w:rFonts w:ascii="Calibri Light" w:hAnsi="Calibri Light" w:cs="Calibri Light"/>
          <w:color w:val="62B5E5"/>
          <w:u w:val="single"/>
        </w:rPr>
      </w:pPr>
      <w:hyperlink r:id="rId45" w:anchor="6ffac8a8-3dda-11e6-8541-7bd3bbe9a809" w:history="1">
        <w:r w:rsidR="00E86594" w:rsidRPr="00A571A3">
          <w:rPr>
            <w:rStyle w:val="Hyperlink"/>
            <w:rFonts w:ascii="Calibri Light" w:hAnsi="Calibri Light" w:cs="Calibri Light"/>
          </w:rPr>
          <w:t xml:space="preserve">326-10-65, </w:t>
        </w:r>
        <w:r w:rsidR="00E86594" w:rsidRPr="00A571A3">
          <w:rPr>
            <w:rStyle w:val="Hyperlink"/>
            <w:rFonts w:ascii="Calibri Light" w:hAnsi="Calibri Light" w:cs="Calibri Light"/>
            <w:i/>
            <w:iCs/>
          </w:rPr>
          <w:t xml:space="preserve">Financial Instruments — Credit Losses — </w:t>
        </w:r>
        <w:r w:rsidR="00A571A3" w:rsidRPr="00A571A3">
          <w:rPr>
            <w:rStyle w:val="Hyperlink"/>
            <w:rFonts w:ascii="Calibri Light" w:hAnsi="Calibri Light" w:cs="Calibri Light"/>
            <w:i/>
            <w:iCs/>
          </w:rPr>
          <w:t>Overall</w:t>
        </w:r>
        <w:r w:rsidR="00E86594" w:rsidRPr="00A571A3">
          <w:rPr>
            <w:rStyle w:val="Hyperlink"/>
            <w:rFonts w:ascii="Calibri Light" w:hAnsi="Calibri Light" w:cs="Calibri Light"/>
            <w:i/>
            <w:iCs/>
          </w:rPr>
          <w:t xml:space="preserve"> — </w:t>
        </w:r>
        <w:r w:rsidR="00A571A3" w:rsidRPr="00A571A3">
          <w:rPr>
            <w:rStyle w:val="Hyperlink"/>
            <w:rFonts w:ascii="Calibri Light" w:hAnsi="Calibri Light" w:cs="Calibri Light"/>
            <w:i/>
            <w:iCs/>
          </w:rPr>
          <w:t>Transition</w:t>
        </w:r>
      </w:hyperlink>
    </w:p>
    <w:p w14:paraId="23D9DB0C" w14:textId="151A87BC" w:rsidR="00E71412"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46" w:anchor="56f3332f-3de6-11e6-8541-c770e9f58710" w:history="1">
        <w:r w:rsidR="00E71412" w:rsidRPr="00A571A3">
          <w:rPr>
            <w:rStyle w:val="Hyperlink"/>
            <w:rFonts w:ascii="Calibri Light" w:hAnsi="Calibri Light" w:cs="Calibri Light"/>
          </w:rPr>
          <w:t xml:space="preserve">326-20-55, </w:t>
        </w:r>
        <w:r w:rsidR="00E71412" w:rsidRPr="00A571A3">
          <w:rPr>
            <w:rStyle w:val="Hyperlink"/>
            <w:rFonts w:ascii="Calibri Light" w:hAnsi="Calibri Light" w:cs="Calibri Light"/>
            <w:i/>
            <w:iCs/>
          </w:rPr>
          <w:t>Financial Instruments — Credit Losses — Measured at Amortized Cost — Implementation</w:t>
        </w:r>
      </w:hyperlink>
    </w:p>
    <w:p w14:paraId="77489294" w14:textId="76AD4339" w:rsidR="00E86594" w:rsidRPr="00E86594" w:rsidRDefault="00424CD8" w:rsidP="00E86594">
      <w:pPr>
        <w:pStyle w:val="PABullet1"/>
        <w:numPr>
          <w:ilvl w:val="0"/>
          <w:numId w:val="9"/>
        </w:numPr>
        <w:spacing w:before="240" w:after="240"/>
        <w:ind w:left="720"/>
        <w:rPr>
          <w:rStyle w:val="Hyperlink"/>
          <w:rFonts w:ascii="Calibri Light" w:hAnsi="Calibri Light" w:cs="Calibri Light"/>
        </w:rPr>
      </w:pPr>
      <w:hyperlink r:id="rId47" w:anchor="fb151892-3dd9-11e6-8541-57e74d64281e" w:history="1">
        <w:r w:rsidR="00E86594" w:rsidRPr="00A571A3">
          <w:rPr>
            <w:rStyle w:val="Hyperlink"/>
            <w:rFonts w:ascii="Calibri Light" w:hAnsi="Calibri Light" w:cs="Calibri Light"/>
          </w:rPr>
          <w:t xml:space="preserve">470-60-05, </w:t>
        </w:r>
        <w:r w:rsidR="00A571A3" w:rsidRPr="00A571A3">
          <w:rPr>
            <w:rStyle w:val="Hyperlink"/>
            <w:rFonts w:ascii="Calibri Light" w:hAnsi="Calibri Light" w:cs="Calibri Light"/>
            <w:i/>
            <w:iCs/>
          </w:rPr>
          <w:t>Debt</w:t>
        </w:r>
        <w:r w:rsidR="00E86594" w:rsidRPr="00A571A3">
          <w:rPr>
            <w:rStyle w:val="Hyperlink"/>
            <w:rFonts w:ascii="Calibri Light" w:hAnsi="Calibri Light" w:cs="Calibri Light"/>
            <w:i/>
            <w:iCs/>
          </w:rPr>
          <w:t xml:space="preserve"> — </w:t>
        </w:r>
        <w:r w:rsidR="00A571A3" w:rsidRPr="00A571A3">
          <w:rPr>
            <w:rStyle w:val="Hyperlink"/>
            <w:rFonts w:ascii="Calibri Light" w:hAnsi="Calibri Light" w:cs="Calibri Light"/>
            <w:i/>
            <w:iCs/>
          </w:rPr>
          <w:t>Troubled Debt Restructurings by Debtors</w:t>
        </w:r>
        <w:r w:rsidR="00E86594" w:rsidRPr="00A571A3">
          <w:rPr>
            <w:rStyle w:val="Hyperlink"/>
            <w:rFonts w:ascii="Calibri Light" w:hAnsi="Calibri Light" w:cs="Calibri Light"/>
            <w:i/>
            <w:iCs/>
          </w:rPr>
          <w:t xml:space="preserve"> — </w:t>
        </w:r>
        <w:r w:rsidR="00A571A3" w:rsidRPr="00A571A3">
          <w:rPr>
            <w:rStyle w:val="Hyperlink"/>
            <w:rFonts w:ascii="Calibri Light" w:hAnsi="Calibri Light" w:cs="Calibri Light"/>
            <w:i/>
            <w:iCs/>
          </w:rPr>
          <w:t>Background</w:t>
        </w:r>
      </w:hyperlink>
    </w:p>
    <w:p w14:paraId="2559C8E9" w14:textId="007D69B7" w:rsidR="0060218E" w:rsidRDefault="0060218E" w:rsidP="00A379B6">
      <w:pPr>
        <w:pStyle w:val="PABullet1"/>
        <w:ind w:left="720"/>
        <w:rPr>
          <w:rStyle w:val="Hyperlink"/>
          <w:rFonts w:ascii="Calibri Light" w:hAnsi="Calibri Light" w:cs="Calibri Light"/>
          <w:color w:val="auto"/>
        </w:rPr>
      </w:pPr>
    </w:p>
    <w:p w14:paraId="664D4780" w14:textId="3DBCF848" w:rsidR="0060218E" w:rsidRDefault="0060218E" w:rsidP="00A379B6">
      <w:pPr>
        <w:pStyle w:val="PABullet1"/>
        <w:ind w:left="720"/>
        <w:rPr>
          <w:rStyle w:val="Hyperlink"/>
          <w:rFonts w:ascii="Calibri Light" w:hAnsi="Calibri Light" w:cs="Calibri Light"/>
          <w:color w:val="auto"/>
        </w:rPr>
      </w:pPr>
    </w:p>
    <w:p w14:paraId="158DADFD" w14:textId="77586F7D" w:rsidR="0060218E" w:rsidRDefault="0060218E" w:rsidP="00A379B6">
      <w:pPr>
        <w:pStyle w:val="PABullet1"/>
        <w:ind w:left="720"/>
        <w:rPr>
          <w:rStyle w:val="Hyperlink"/>
          <w:rFonts w:ascii="Calibri Light" w:hAnsi="Calibri Light" w:cs="Calibri Light"/>
          <w:color w:val="auto"/>
        </w:rPr>
      </w:pPr>
    </w:p>
    <w:p w14:paraId="16BA118A" w14:textId="7B3F89CF" w:rsidR="0060218E" w:rsidRDefault="0060218E" w:rsidP="00A379B6">
      <w:pPr>
        <w:pStyle w:val="PABullet1"/>
        <w:ind w:left="720"/>
        <w:rPr>
          <w:rStyle w:val="Hyperlink"/>
          <w:rFonts w:ascii="Calibri Light" w:hAnsi="Calibri Light" w:cs="Calibri Light"/>
          <w:color w:val="auto"/>
        </w:rPr>
      </w:pPr>
    </w:p>
    <w:p w14:paraId="4F96D09F" w14:textId="67CE3881" w:rsidR="0060218E" w:rsidRDefault="0060218E" w:rsidP="00A379B6">
      <w:pPr>
        <w:pStyle w:val="PABullet1"/>
        <w:ind w:left="720"/>
        <w:rPr>
          <w:rStyle w:val="Hyperlink"/>
          <w:rFonts w:ascii="Calibri Light" w:hAnsi="Calibri Light" w:cs="Calibri Light"/>
          <w:color w:val="auto"/>
        </w:rPr>
      </w:pPr>
    </w:p>
    <w:p w14:paraId="6D5A9769" w14:textId="476F7C39" w:rsidR="0060218E" w:rsidRDefault="0060218E" w:rsidP="00A379B6">
      <w:pPr>
        <w:pStyle w:val="PABullet1"/>
        <w:ind w:left="720"/>
        <w:rPr>
          <w:rStyle w:val="Hyperlink"/>
          <w:rFonts w:ascii="Calibri Light" w:hAnsi="Calibri Light" w:cs="Calibri Light"/>
          <w:color w:val="auto"/>
        </w:rPr>
      </w:pPr>
    </w:p>
    <w:p w14:paraId="1AFD71E6" w14:textId="08073A35" w:rsidR="0060218E" w:rsidRDefault="0060218E" w:rsidP="00A379B6">
      <w:pPr>
        <w:pStyle w:val="PABullet1"/>
        <w:ind w:left="720"/>
        <w:rPr>
          <w:rStyle w:val="Hyperlink"/>
          <w:rFonts w:ascii="Calibri Light" w:hAnsi="Calibri Light" w:cs="Calibri Light"/>
          <w:color w:val="auto"/>
        </w:rPr>
      </w:pPr>
    </w:p>
    <w:p w14:paraId="1850B8D5" w14:textId="6BCF71FB" w:rsidR="0060218E" w:rsidRDefault="0060218E" w:rsidP="00A379B6">
      <w:pPr>
        <w:pStyle w:val="PABullet1"/>
        <w:ind w:left="720"/>
        <w:rPr>
          <w:rStyle w:val="Hyperlink"/>
          <w:rFonts w:ascii="Calibri Light" w:hAnsi="Calibri Light" w:cs="Calibri Light"/>
          <w:color w:val="auto"/>
        </w:rPr>
      </w:pPr>
    </w:p>
    <w:p w14:paraId="1054A9A4" w14:textId="1AFCAB02" w:rsidR="0060218E" w:rsidRDefault="0060218E" w:rsidP="00A379B6">
      <w:pPr>
        <w:pStyle w:val="PABullet1"/>
        <w:ind w:left="720"/>
        <w:rPr>
          <w:rStyle w:val="Hyperlink"/>
          <w:rFonts w:ascii="Calibri Light" w:hAnsi="Calibri Light" w:cs="Calibri Light"/>
          <w:color w:val="auto"/>
        </w:rPr>
      </w:pPr>
    </w:p>
    <w:p w14:paraId="6A392891" w14:textId="2DD62F66" w:rsidR="0060218E" w:rsidRDefault="0060218E" w:rsidP="00A379B6">
      <w:pPr>
        <w:pStyle w:val="PABullet1"/>
        <w:ind w:left="720"/>
        <w:rPr>
          <w:rStyle w:val="Hyperlink"/>
          <w:rFonts w:ascii="Calibri Light" w:hAnsi="Calibri Light" w:cs="Calibri Light"/>
          <w:color w:val="auto"/>
        </w:rPr>
      </w:pPr>
    </w:p>
    <w:p w14:paraId="129C46E8" w14:textId="17141B9A" w:rsidR="0060218E" w:rsidRDefault="0060218E" w:rsidP="00A379B6">
      <w:pPr>
        <w:pStyle w:val="PABullet1"/>
        <w:ind w:left="720"/>
        <w:rPr>
          <w:rStyle w:val="Hyperlink"/>
          <w:rFonts w:ascii="Calibri Light" w:hAnsi="Calibri Light" w:cs="Calibri Light"/>
          <w:color w:val="auto"/>
        </w:rPr>
      </w:pPr>
    </w:p>
    <w:p w14:paraId="7973AA59" w14:textId="655B1C81" w:rsidR="006D581D" w:rsidRDefault="006D581D" w:rsidP="00A379B6">
      <w:pPr>
        <w:pStyle w:val="PABullet1"/>
        <w:ind w:left="720"/>
        <w:rPr>
          <w:rStyle w:val="Hyperlink"/>
          <w:rFonts w:ascii="Calibri Light" w:hAnsi="Calibri Light" w:cs="Calibri Light"/>
          <w:color w:val="auto"/>
        </w:rPr>
      </w:pPr>
    </w:p>
    <w:p w14:paraId="73616A96" w14:textId="7B42E1A4" w:rsidR="006D581D" w:rsidRDefault="006D581D" w:rsidP="00A379B6">
      <w:pPr>
        <w:pStyle w:val="PABullet1"/>
        <w:ind w:left="720"/>
        <w:rPr>
          <w:rStyle w:val="Hyperlink"/>
          <w:rFonts w:ascii="Calibri Light" w:hAnsi="Calibri Light" w:cs="Calibri Light"/>
          <w:color w:val="auto"/>
        </w:rPr>
      </w:pPr>
    </w:p>
    <w:p w14:paraId="4FD7592C" w14:textId="1384CBEC" w:rsidR="006D581D" w:rsidRDefault="006D581D" w:rsidP="00A379B6">
      <w:pPr>
        <w:pStyle w:val="PABullet1"/>
        <w:ind w:left="720"/>
        <w:rPr>
          <w:rStyle w:val="Hyperlink"/>
          <w:rFonts w:ascii="Calibri Light" w:hAnsi="Calibri Light" w:cs="Calibri Light"/>
          <w:color w:val="auto"/>
        </w:rPr>
      </w:pPr>
    </w:p>
    <w:p w14:paraId="688FD587" w14:textId="70FF901B" w:rsidR="006D581D" w:rsidRDefault="006D581D" w:rsidP="00A379B6">
      <w:pPr>
        <w:pStyle w:val="PABullet1"/>
        <w:ind w:left="720"/>
        <w:rPr>
          <w:rStyle w:val="Hyperlink"/>
          <w:rFonts w:ascii="Calibri Light" w:hAnsi="Calibri Light" w:cs="Calibri Light"/>
          <w:color w:val="auto"/>
        </w:rPr>
      </w:pPr>
    </w:p>
    <w:p w14:paraId="2C5D6C43" w14:textId="170F1CE3" w:rsidR="006D581D" w:rsidRDefault="006D581D" w:rsidP="00A379B6">
      <w:pPr>
        <w:pStyle w:val="PABullet1"/>
        <w:ind w:left="720"/>
        <w:rPr>
          <w:rStyle w:val="Hyperlink"/>
          <w:rFonts w:ascii="Calibri Light" w:hAnsi="Calibri Light" w:cs="Calibri Light"/>
          <w:color w:val="auto"/>
        </w:rPr>
      </w:pPr>
    </w:p>
    <w:p w14:paraId="39D3DC13" w14:textId="0FAE93CE" w:rsidR="006D581D" w:rsidRDefault="006D581D" w:rsidP="00A379B6">
      <w:pPr>
        <w:pStyle w:val="PABullet1"/>
        <w:ind w:left="720"/>
        <w:rPr>
          <w:rStyle w:val="Hyperlink"/>
          <w:rFonts w:ascii="Calibri Light" w:hAnsi="Calibri Light" w:cs="Calibri Light"/>
          <w:color w:val="auto"/>
        </w:rPr>
      </w:pPr>
    </w:p>
    <w:p w14:paraId="37690394" w14:textId="77777777" w:rsidR="006D581D" w:rsidRDefault="006D581D" w:rsidP="00A379B6">
      <w:pPr>
        <w:pStyle w:val="PABullet1"/>
        <w:ind w:left="720"/>
        <w:rPr>
          <w:rStyle w:val="Hyperlink"/>
          <w:rFonts w:ascii="Calibri Light" w:hAnsi="Calibri Light" w:cs="Calibri Light"/>
          <w:color w:val="auto"/>
        </w:rPr>
      </w:pPr>
    </w:p>
    <w:p w14:paraId="199CD205" w14:textId="77777777" w:rsidR="00F31BCE" w:rsidRPr="00493116" w:rsidRDefault="00302B42" w:rsidP="00EA1E1F">
      <w:pPr>
        <w:spacing w:before="2400" w:after="120" w:line="180" w:lineRule="atLeast"/>
        <w:ind w:right="5387"/>
        <w:rPr>
          <w:rFonts w:ascii="Calibri Light" w:hAnsi="Calibri Light" w:cs="Calibri Light"/>
          <w:b/>
          <w:sz w:val="14"/>
          <w:szCs w:val="14"/>
        </w:rPr>
      </w:pPr>
      <w:r w:rsidRPr="00493116">
        <w:rPr>
          <w:rFonts w:ascii="Calibri Light" w:hAnsi="Calibri Light" w:cs="Calibri Light"/>
          <w:noProof/>
          <w:sz w:val="20"/>
          <w:szCs w:val="20"/>
        </w:rPr>
        <w:drawing>
          <wp:anchor distT="0" distB="0" distL="114300" distR="114300" simplePos="0" relativeHeight="251671552" behindDoc="1" locked="0" layoutInCell="1" allowOverlap="1" wp14:anchorId="0A927EED" wp14:editId="6B8C28E0">
            <wp:simplePos x="0" y="0"/>
            <wp:positionH relativeFrom="margin">
              <wp:align>left</wp:align>
            </wp:positionH>
            <wp:positionV relativeFrom="paragraph">
              <wp:posOffset>1013460</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21C4D7EB" w14:textId="5CA27A57" w:rsidR="00AE2221" w:rsidRPr="00493116" w:rsidRDefault="00AE2221" w:rsidP="00A061D0">
      <w:pPr>
        <w:spacing w:before="120" w:after="120" w:line="180" w:lineRule="atLeast"/>
        <w:ind w:right="5387"/>
        <w:rPr>
          <w:rFonts w:ascii="Calibri Light" w:hAnsi="Calibri Light" w:cs="Calibri Light"/>
          <w:b/>
          <w:sz w:val="14"/>
          <w:szCs w:val="14"/>
        </w:rPr>
      </w:pPr>
    </w:p>
    <w:p w14:paraId="7520FAAC" w14:textId="2DF74090" w:rsidR="000E7C6E" w:rsidRPr="005A24CC" w:rsidRDefault="000E7C6E" w:rsidP="00F70CD0">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D3D9791" w14:textId="2F61B55A" w:rsidR="000E7C6E" w:rsidRPr="005A24CC" w:rsidRDefault="00F73AE9" w:rsidP="00F70CD0">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48" w:history="1">
        <w:r w:rsidR="00391875"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0EEC4B8D" w14:textId="5FB5B31B" w:rsidR="000E7C6E" w:rsidRPr="005A24CC" w:rsidRDefault="000E7C6E" w:rsidP="00030E74">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Copyright © </w:t>
      </w:r>
      <w:r w:rsidR="009F62C2" w:rsidRPr="005A24CC">
        <w:rPr>
          <w:rFonts w:ascii="Calibri Light" w:hAnsi="Calibri Light" w:cs="Calibri Light"/>
          <w:sz w:val="16"/>
          <w:szCs w:val="16"/>
        </w:rPr>
        <w:t>202</w:t>
      </w:r>
      <w:r w:rsidR="009F62C2">
        <w:rPr>
          <w:rFonts w:ascii="Calibri Light" w:hAnsi="Calibri Light" w:cs="Calibri Light"/>
          <w:sz w:val="16"/>
          <w:szCs w:val="16"/>
        </w:rPr>
        <w:t>2</w:t>
      </w:r>
      <w:r w:rsidR="009F62C2" w:rsidRPr="005A24CC">
        <w:rPr>
          <w:rFonts w:ascii="Calibri Light" w:hAnsi="Calibri Light" w:cs="Calibri Light"/>
          <w:sz w:val="16"/>
          <w:szCs w:val="16"/>
        </w:rPr>
        <w:t xml:space="preserve"> </w:t>
      </w:r>
      <w:r w:rsidRPr="005A24CC">
        <w:rPr>
          <w:rFonts w:ascii="Calibri Light" w:hAnsi="Calibri Light" w:cs="Calibri Light"/>
          <w:sz w:val="16"/>
          <w:szCs w:val="16"/>
        </w:rPr>
        <w:t>Deloitte Development LLC. All rights reserved.</w:t>
      </w:r>
    </w:p>
    <w:p w14:paraId="1A1B2AB4" w14:textId="77777777" w:rsidR="00E668C3" w:rsidRPr="005A24CC" w:rsidRDefault="00E668C3" w:rsidP="00030E74">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sectPr w:rsidR="00E668C3" w:rsidRPr="005A24CC" w:rsidSect="00FD4AC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7A04D" w14:textId="77777777" w:rsidR="00424CD8" w:rsidRDefault="00424CD8" w:rsidP="00C612CD">
      <w:r>
        <w:separator/>
      </w:r>
    </w:p>
    <w:p w14:paraId="68AD6709" w14:textId="77777777" w:rsidR="00424CD8" w:rsidRDefault="00424CD8" w:rsidP="00C612CD"/>
  </w:endnote>
  <w:endnote w:type="continuationSeparator" w:id="0">
    <w:p w14:paraId="1EF2C52D" w14:textId="77777777" w:rsidR="00424CD8" w:rsidRDefault="00424CD8" w:rsidP="00C612CD">
      <w:r>
        <w:continuationSeparator/>
      </w:r>
    </w:p>
    <w:p w14:paraId="628300CC" w14:textId="77777777" w:rsidR="00424CD8" w:rsidRDefault="00424CD8" w:rsidP="00C612CD"/>
  </w:endnote>
  <w:endnote w:type="continuationNotice" w:id="1">
    <w:p w14:paraId="00C76080" w14:textId="77777777" w:rsidR="00424CD8" w:rsidRDefault="00424CD8"/>
    <w:p w14:paraId="7BCDAC3E" w14:textId="77777777" w:rsidR="00424CD8" w:rsidRDefault="0042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5967" w14:textId="77777777" w:rsidR="00BE3634" w:rsidRDefault="00BE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6A7E4" w14:textId="77777777" w:rsidR="00BE3634" w:rsidRDefault="00BE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A88E6" w14:textId="77777777" w:rsidR="00424CD8" w:rsidRDefault="00424CD8" w:rsidP="00C612CD">
      <w:r>
        <w:separator/>
      </w:r>
    </w:p>
  </w:footnote>
  <w:footnote w:type="continuationSeparator" w:id="0">
    <w:p w14:paraId="67FA00F4" w14:textId="77777777" w:rsidR="00424CD8" w:rsidRDefault="00424CD8" w:rsidP="00C612CD">
      <w:r>
        <w:continuationSeparator/>
      </w:r>
    </w:p>
  </w:footnote>
  <w:footnote w:type="continuationNotice" w:id="1">
    <w:p w14:paraId="0CE11FC2" w14:textId="77777777" w:rsidR="00424CD8" w:rsidRPr="00DF1F95" w:rsidRDefault="00424CD8" w:rsidP="00DF1F95">
      <w:pPr>
        <w:pStyle w:val="Footer"/>
      </w:pPr>
    </w:p>
  </w:footnote>
  <w:footnote w:id="2">
    <w:p w14:paraId="7A965C10" w14:textId="6A8E3972" w:rsidR="004D475B" w:rsidRPr="00E90D62" w:rsidRDefault="004D475B" w:rsidP="00302B42">
      <w:pPr>
        <w:pStyle w:val="FootnoteText"/>
        <w:rPr>
          <w:szCs w:val="16"/>
          <w:lang w:val="en-US"/>
        </w:rPr>
      </w:pPr>
      <w:r w:rsidRPr="00E90D62">
        <w:rPr>
          <w:rStyle w:val="FootnoteReference"/>
          <w:rFonts w:ascii="Calibri Light" w:hAnsi="Calibri Light" w:cs="Calibri Light"/>
          <w:szCs w:val="16"/>
        </w:rPr>
        <w:footnoteRef/>
      </w:r>
      <w:r w:rsidRPr="00E90D62">
        <w:rPr>
          <w:rStyle w:val="FootnoteReference"/>
          <w:rFonts w:ascii="Calibri Light" w:hAnsi="Calibri Light" w:cs="Calibri Light"/>
          <w:szCs w:val="16"/>
        </w:rPr>
        <w:t xml:space="preserve"> </w:t>
      </w:r>
      <w:r w:rsidRPr="00E90D62">
        <w:rPr>
          <w:rStyle w:val="FootnoteReference"/>
          <w:rFonts w:ascii="Calibri Light" w:hAnsi="Calibri Light" w:cs="Calibri Light"/>
          <w:szCs w:val="16"/>
        </w:rPr>
        <w:tab/>
      </w:r>
      <w:r w:rsidRPr="00E90D62">
        <w:rPr>
          <w:rStyle w:val="FootnoteReference"/>
          <w:rFonts w:ascii="Calibri Light" w:hAnsi="Calibri Light" w:cs="Calibri Light"/>
          <w:szCs w:val="16"/>
          <w:vertAlign w:val="baseline"/>
        </w:rPr>
        <w:t>Users complete framing questions within the Checklist in the Deloitte Disclosure Analytics suite to scope Topics and Subtopics into the checklist based on what is applicable for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6D811" w14:textId="77777777" w:rsidR="00BE3634" w:rsidRDefault="00BE3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161FF" w14:textId="77777777" w:rsidR="00BE3634" w:rsidRDefault="00BE3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802C2" w14:textId="77777777" w:rsidR="00BE3634" w:rsidRDefault="00BE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64F2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B0A1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6AB0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E3EA5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42D2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CED9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5BEA1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5E739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401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6CE6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9630C"/>
    <w:multiLevelType w:val="hybridMultilevel"/>
    <w:tmpl w:val="A99AE4BE"/>
    <w:lvl w:ilvl="0" w:tplc="7BDE534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7724C6"/>
    <w:multiLevelType w:val="hybridMultilevel"/>
    <w:tmpl w:val="2F7AEA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2FA3A38"/>
    <w:multiLevelType w:val="hybridMultilevel"/>
    <w:tmpl w:val="6B6C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15" w15:restartNumberingAfterBreak="0">
    <w:nsid w:val="2165486F"/>
    <w:multiLevelType w:val="hybridMultilevel"/>
    <w:tmpl w:val="B566791C"/>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32757F15"/>
    <w:multiLevelType w:val="hybridMultilevel"/>
    <w:tmpl w:val="B0C2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25242"/>
    <w:multiLevelType w:val="hybridMultilevel"/>
    <w:tmpl w:val="0E68E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62909"/>
    <w:multiLevelType w:val="hybridMultilevel"/>
    <w:tmpl w:val="1166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32E6B"/>
    <w:multiLevelType w:val="hybridMultilevel"/>
    <w:tmpl w:val="386E2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001642"/>
    <w:multiLevelType w:val="hybridMultilevel"/>
    <w:tmpl w:val="24A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0464F"/>
    <w:multiLevelType w:val="hybridMultilevel"/>
    <w:tmpl w:val="EDF8FB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E11E7"/>
    <w:multiLevelType w:val="hybridMultilevel"/>
    <w:tmpl w:val="1D2A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D2484"/>
    <w:multiLevelType w:val="hybridMultilevel"/>
    <w:tmpl w:val="1772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A2375"/>
    <w:multiLevelType w:val="hybridMultilevel"/>
    <w:tmpl w:val="90F23626"/>
    <w:lvl w:ilvl="0" w:tplc="7BDE5342">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E976C1"/>
    <w:multiLevelType w:val="hybridMultilevel"/>
    <w:tmpl w:val="2D929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30" w15:restartNumberingAfterBreak="0">
    <w:nsid w:val="6FA26101"/>
    <w:multiLevelType w:val="hybridMultilevel"/>
    <w:tmpl w:val="83B062D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457A7"/>
    <w:multiLevelType w:val="multilevel"/>
    <w:tmpl w:val="194CCB8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3C43DA"/>
    <w:multiLevelType w:val="hybridMultilevel"/>
    <w:tmpl w:val="86888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A91AB0"/>
    <w:multiLevelType w:val="hybridMultilevel"/>
    <w:tmpl w:val="13C831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75CC2"/>
    <w:multiLevelType w:val="hybridMultilevel"/>
    <w:tmpl w:val="67E63C7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F367E"/>
    <w:multiLevelType w:val="hybridMultilevel"/>
    <w:tmpl w:val="64604D8E"/>
    <w:lvl w:ilvl="0" w:tplc="7BDE5342">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59575E"/>
    <w:multiLevelType w:val="hybridMultilevel"/>
    <w:tmpl w:val="D44AC7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7"/>
  </w:num>
  <w:num w:numId="3">
    <w:abstractNumId w:val="12"/>
  </w:num>
  <w:num w:numId="4">
    <w:abstractNumId w:val="40"/>
  </w:num>
  <w:num w:numId="5">
    <w:abstractNumId w:val="14"/>
  </w:num>
  <w:num w:numId="6">
    <w:abstractNumId w:val="18"/>
  </w:num>
  <w:num w:numId="7">
    <w:abstractNumId w:val="36"/>
  </w:num>
  <w:num w:numId="8">
    <w:abstractNumId w:val="16"/>
  </w:num>
  <w:num w:numId="9">
    <w:abstractNumId w:val="10"/>
  </w:num>
  <w:num w:numId="10">
    <w:abstractNumId w:val="39"/>
  </w:num>
  <w:num w:numId="11">
    <w:abstractNumId w:val="17"/>
  </w:num>
  <w:num w:numId="12">
    <w:abstractNumId w:val="32"/>
  </w:num>
  <w:num w:numId="13">
    <w:abstractNumId w:val="34"/>
  </w:num>
  <w:num w:numId="14">
    <w:abstractNumId w:val="19"/>
  </w:num>
  <w:num w:numId="15">
    <w:abstractNumId w:val="22"/>
  </w:num>
  <w:num w:numId="16">
    <w:abstractNumId w:val="30"/>
  </w:num>
  <w:num w:numId="17">
    <w:abstractNumId w:val="15"/>
  </w:num>
  <w:num w:numId="18">
    <w:abstractNumId w:val="31"/>
  </w:num>
  <w:num w:numId="19">
    <w:abstractNumId w:val="21"/>
  </w:num>
  <w:num w:numId="20">
    <w:abstractNumId w:val="37"/>
  </w:num>
  <w:num w:numId="21">
    <w:abstractNumId w:val="37"/>
  </w:num>
  <w:num w:numId="22">
    <w:abstractNumId w:val="37"/>
  </w:num>
  <w:num w:numId="23">
    <w:abstractNumId w:val="23"/>
  </w:num>
  <w:num w:numId="24">
    <w:abstractNumId w:val="26"/>
  </w:num>
  <w:num w:numId="25">
    <w:abstractNumId w:val="33"/>
  </w:num>
  <w:num w:numId="26">
    <w:abstractNumId w:val="11"/>
  </w:num>
  <w:num w:numId="27">
    <w:abstractNumId w:val="38"/>
  </w:num>
  <w:num w:numId="28">
    <w:abstractNumId w:val="17"/>
  </w:num>
  <w:num w:numId="29">
    <w:abstractNumId w:val="17"/>
  </w:num>
  <w:num w:numId="30">
    <w:abstractNumId w:val="37"/>
  </w:num>
  <w:num w:numId="31">
    <w:abstractNumId w:val="20"/>
  </w:num>
  <w:num w:numId="32">
    <w:abstractNumId w:val="28"/>
  </w:num>
  <w:num w:numId="33">
    <w:abstractNumId w:val="24"/>
  </w:num>
  <w:num w:numId="34">
    <w:abstractNumId w:val="27"/>
  </w:num>
  <w:num w:numId="35">
    <w:abstractNumId w:val="35"/>
  </w:num>
  <w:num w:numId="36">
    <w:abstractNumId w:val="25"/>
  </w:num>
  <w:num w:numId="37">
    <w:abstractNumId w:val="13"/>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239"/>
    <w:rsid w:val="0000482D"/>
    <w:rsid w:val="00004C40"/>
    <w:rsid w:val="00004E6B"/>
    <w:rsid w:val="00005603"/>
    <w:rsid w:val="000059C1"/>
    <w:rsid w:val="000061C3"/>
    <w:rsid w:val="00006293"/>
    <w:rsid w:val="0000635F"/>
    <w:rsid w:val="00006D68"/>
    <w:rsid w:val="00007393"/>
    <w:rsid w:val="000074DB"/>
    <w:rsid w:val="000077B4"/>
    <w:rsid w:val="00010799"/>
    <w:rsid w:val="000109FD"/>
    <w:rsid w:val="0001126A"/>
    <w:rsid w:val="00012A5D"/>
    <w:rsid w:val="000135AA"/>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90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6F65"/>
    <w:rsid w:val="00047C92"/>
    <w:rsid w:val="00050281"/>
    <w:rsid w:val="000504BA"/>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BAF"/>
    <w:rsid w:val="00097E31"/>
    <w:rsid w:val="000A1000"/>
    <w:rsid w:val="000A2A6F"/>
    <w:rsid w:val="000A2ABD"/>
    <w:rsid w:val="000A46FA"/>
    <w:rsid w:val="000A47D9"/>
    <w:rsid w:val="000A4903"/>
    <w:rsid w:val="000A5309"/>
    <w:rsid w:val="000A5406"/>
    <w:rsid w:val="000A5EA7"/>
    <w:rsid w:val="000A6173"/>
    <w:rsid w:val="000A6748"/>
    <w:rsid w:val="000A731A"/>
    <w:rsid w:val="000A733C"/>
    <w:rsid w:val="000A75A3"/>
    <w:rsid w:val="000A7AD1"/>
    <w:rsid w:val="000A7BBA"/>
    <w:rsid w:val="000A7F3E"/>
    <w:rsid w:val="000B02BD"/>
    <w:rsid w:val="000B0523"/>
    <w:rsid w:val="000B076B"/>
    <w:rsid w:val="000B1C92"/>
    <w:rsid w:val="000B2A02"/>
    <w:rsid w:val="000B2F5E"/>
    <w:rsid w:val="000B3234"/>
    <w:rsid w:val="000B3B4D"/>
    <w:rsid w:val="000B3E8A"/>
    <w:rsid w:val="000B415C"/>
    <w:rsid w:val="000B4778"/>
    <w:rsid w:val="000B60D1"/>
    <w:rsid w:val="000B60FF"/>
    <w:rsid w:val="000B78B5"/>
    <w:rsid w:val="000C11E4"/>
    <w:rsid w:val="000C1635"/>
    <w:rsid w:val="000C17BF"/>
    <w:rsid w:val="000C239E"/>
    <w:rsid w:val="000C3283"/>
    <w:rsid w:val="000C376A"/>
    <w:rsid w:val="000C4443"/>
    <w:rsid w:val="000C4AF7"/>
    <w:rsid w:val="000C4D11"/>
    <w:rsid w:val="000C552A"/>
    <w:rsid w:val="000C56B8"/>
    <w:rsid w:val="000C6D02"/>
    <w:rsid w:val="000C784B"/>
    <w:rsid w:val="000C7EC5"/>
    <w:rsid w:val="000D063B"/>
    <w:rsid w:val="000D15A2"/>
    <w:rsid w:val="000D20B1"/>
    <w:rsid w:val="000D264C"/>
    <w:rsid w:val="000D2959"/>
    <w:rsid w:val="000D3BD1"/>
    <w:rsid w:val="000D40A6"/>
    <w:rsid w:val="000D4FD6"/>
    <w:rsid w:val="000D5246"/>
    <w:rsid w:val="000D582C"/>
    <w:rsid w:val="000D5B1C"/>
    <w:rsid w:val="000D65AA"/>
    <w:rsid w:val="000D737B"/>
    <w:rsid w:val="000D7FD3"/>
    <w:rsid w:val="000E00EE"/>
    <w:rsid w:val="000E0341"/>
    <w:rsid w:val="000E07D3"/>
    <w:rsid w:val="000E0BB8"/>
    <w:rsid w:val="000E1A8A"/>
    <w:rsid w:val="000E1E09"/>
    <w:rsid w:val="000E24B7"/>
    <w:rsid w:val="000E2865"/>
    <w:rsid w:val="000E2FCB"/>
    <w:rsid w:val="000E3701"/>
    <w:rsid w:val="000E43D2"/>
    <w:rsid w:val="000E44E7"/>
    <w:rsid w:val="000E46FB"/>
    <w:rsid w:val="000E481F"/>
    <w:rsid w:val="000E6063"/>
    <w:rsid w:val="000E663A"/>
    <w:rsid w:val="000E6D1F"/>
    <w:rsid w:val="000E7C6E"/>
    <w:rsid w:val="000F0343"/>
    <w:rsid w:val="000F0A6C"/>
    <w:rsid w:val="000F1CB6"/>
    <w:rsid w:val="000F1DB5"/>
    <w:rsid w:val="000F1DC5"/>
    <w:rsid w:val="000F26BD"/>
    <w:rsid w:val="000F3095"/>
    <w:rsid w:val="000F30B3"/>
    <w:rsid w:val="000F5112"/>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1"/>
    <w:rsid w:val="00130C9D"/>
    <w:rsid w:val="00130F83"/>
    <w:rsid w:val="001310F9"/>
    <w:rsid w:val="001314CB"/>
    <w:rsid w:val="00133914"/>
    <w:rsid w:val="00133B6E"/>
    <w:rsid w:val="00133CFF"/>
    <w:rsid w:val="00134605"/>
    <w:rsid w:val="0013504F"/>
    <w:rsid w:val="00135F40"/>
    <w:rsid w:val="00137161"/>
    <w:rsid w:val="00137259"/>
    <w:rsid w:val="00137638"/>
    <w:rsid w:val="001404F7"/>
    <w:rsid w:val="00140B1B"/>
    <w:rsid w:val="00140C3B"/>
    <w:rsid w:val="00141683"/>
    <w:rsid w:val="0014223C"/>
    <w:rsid w:val="0014254C"/>
    <w:rsid w:val="00144592"/>
    <w:rsid w:val="0014471D"/>
    <w:rsid w:val="001477A3"/>
    <w:rsid w:val="00147A59"/>
    <w:rsid w:val="00150207"/>
    <w:rsid w:val="0015029C"/>
    <w:rsid w:val="00150956"/>
    <w:rsid w:val="0015107E"/>
    <w:rsid w:val="001510D4"/>
    <w:rsid w:val="0015121E"/>
    <w:rsid w:val="00154BAB"/>
    <w:rsid w:val="00154BF5"/>
    <w:rsid w:val="0015511E"/>
    <w:rsid w:val="00156218"/>
    <w:rsid w:val="001562DA"/>
    <w:rsid w:val="00156B0C"/>
    <w:rsid w:val="00156EF6"/>
    <w:rsid w:val="001570BF"/>
    <w:rsid w:val="001572E9"/>
    <w:rsid w:val="00157704"/>
    <w:rsid w:val="001577B7"/>
    <w:rsid w:val="00157B71"/>
    <w:rsid w:val="0016232C"/>
    <w:rsid w:val="0016328F"/>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75A"/>
    <w:rsid w:val="00184F65"/>
    <w:rsid w:val="001854EE"/>
    <w:rsid w:val="00185D18"/>
    <w:rsid w:val="00186EBE"/>
    <w:rsid w:val="00186EF1"/>
    <w:rsid w:val="00187B1D"/>
    <w:rsid w:val="00190635"/>
    <w:rsid w:val="00190B83"/>
    <w:rsid w:val="00190C30"/>
    <w:rsid w:val="00191D9F"/>
    <w:rsid w:val="00192044"/>
    <w:rsid w:val="00192380"/>
    <w:rsid w:val="0019245A"/>
    <w:rsid w:val="00193904"/>
    <w:rsid w:val="001944ED"/>
    <w:rsid w:val="00194F3F"/>
    <w:rsid w:val="0019500E"/>
    <w:rsid w:val="001951CC"/>
    <w:rsid w:val="0019539E"/>
    <w:rsid w:val="00195C16"/>
    <w:rsid w:val="0019712B"/>
    <w:rsid w:val="0019754A"/>
    <w:rsid w:val="00197BBC"/>
    <w:rsid w:val="001A03C1"/>
    <w:rsid w:val="001A064A"/>
    <w:rsid w:val="001A0925"/>
    <w:rsid w:val="001A1182"/>
    <w:rsid w:val="001A19B5"/>
    <w:rsid w:val="001A19EF"/>
    <w:rsid w:val="001A20EA"/>
    <w:rsid w:val="001A3041"/>
    <w:rsid w:val="001A4402"/>
    <w:rsid w:val="001A49A0"/>
    <w:rsid w:val="001A6059"/>
    <w:rsid w:val="001A6552"/>
    <w:rsid w:val="001A6811"/>
    <w:rsid w:val="001A6843"/>
    <w:rsid w:val="001A77C9"/>
    <w:rsid w:val="001A7AA5"/>
    <w:rsid w:val="001A7E02"/>
    <w:rsid w:val="001B073E"/>
    <w:rsid w:val="001B082B"/>
    <w:rsid w:val="001B1494"/>
    <w:rsid w:val="001B1AC3"/>
    <w:rsid w:val="001B2A68"/>
    <w:rsid w:val="001B3B94"/>
    <w:rsid w:val="001B4E00"/>
    <w:rsid w:val="001B570D"/>
    <w:rsid w:val="001B5D57"/>
    <w:rsid w:val="001B64A3"/>
    <w:rsid w:val="001B6D39"/>
    <w:rsid w:val="001B72EA"/>
    <w:rsid w:val="001B74A5"/>
    <w:rsid w:val="001B7E65"/>
    <w:rsid w:val="001B7ED5"/>
    <w:rsid w:val="001C0514"/>
    <w:rsid w:val="001C0B33"/>
    <w:rsid w:val="001C1813"/>
    <w:rsid w:val="001C21FC"/>
    <w:rsid w:val="001C2A62"/>
    <w:rsid w:val="001C3768"/>
    <w:rsid w:val="001C389F"/>
    <w:rsid w:val="001C4319"/>
    <w:rsid w:val="001C4C7C"/>
    <w:rsid w:val="001C7375"/>
    <w:rsid w:val="001D02F2"/>
    <w:rsid w:val="001D0327"/>
    <w:rsid w:val="001D0B0C"/>
    <w:rsid w:val="001D0C3C"/>
    <w:rsid w:val="001D26A4"/>
    <w:rsid w:val="001D2DE5"/>
    <w:rsid w:val="001D49A6"/>
    <w:rsid w:val="001D54F1"/>
    <w:rsid w:val="001D586A"/>
    <w:rsid w:val="001D5B12"/>
    <w:rsid w:val="001D62FD"/>
    <w:rsid w:val="001D65B8"/>
    <w:rsid w:val="001D6CB9"/>
    <w:rsid w:val="001D78DC"/>
    <w:rsid w:val="001E03AA"/>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318D"/>
    <w:rsid w:val="001F3318"/>
    <w:rsid w:val="001F3441"/>
    <w:rsid w:val="001F3CF0"/>
    <w:rsid w:val="001F4D64"/>
    <w:rsid w:val="001F4E45"/>
    <w:rsid w:val="001F5403"/>
    <w:rsid w:val="001F544B"/>
    <w:rsid w:val="001F56CC"/>
    <w:rsid w:val="001F587B"/>
    <w:rsid w:val="001F58F2"/>
    <w:rsid w:val="001F7E23"/>
    <w:rsid w:val="002000DA"/>
    <w:rsid w:val="0020033A"/>
    <w:rsid w:val="0020035F"/>
    <w:rsid w:val="00200C68"/>
    <w:rsid w:val="00200D31"/>
    <w:rsid w:val="0020422B"/>
    <w:rsid w:val="002043D8"/>
    <w:rsid w:val="00204497"/>
    <w:rsid w:val="0020466F"/>
    <w:rsid w:val="0020497C"/>
    <w:rsid w:val="002049BF"/>
    <w:rsid w:val="002052F0"/>
    <w:rsid w:val="00205649"/>
    <w:rsid w:val="00205B56"/>
    <w:rsid w:val="00206548"/>
    <w:rsid w:val="0020690A"/>
    <w:rsid w:val="00206DD6"/>
    <w:rsid w:val="0020776B"/>
    <w:rsid w:val="00210DFE"/>
    <w:rsid w:val="0021292A"/>
    <w:rsid w:val="002129C7"/>
    <w:rsid w:val="00212DCD"/>
    <w:rsid w:val="00213579"/>
    <w:rsid w:val="002139BE"/>
    <w:rsid w:val="00214705"/>
    <w:rsid w:val="002155D0"/>
    <w:rsid w:val="002176A0"/>
    <w:rsid w:val="00221B34"/>
    <w:rsid w:val="0022228C"/>
    <w:rsid w:val="00222501"/>
    <w:rsid w:val="00222CC0"/>
    <w:rsid w:val="00223860"/>
    <w:rsid w:val="002240CB"/>
    <w:rsid w:val="002247B3"/>
    <w:rsid w:val="00224BA7"/>
    <w:rsid w:val="00224F73"/>
    <w:rsid w:val="0022553C"/>
    <w:rsid w:val="002256CC"/>
    <w:rsid w:val="0022594C"/>
    <w:rsid w:val="002261E5"/>
    <w:rsid w:val="002264FB"/>
    <w:rsid w:val="002270A5"/>
    <w:rsid w:val="00227706"/>
    <w:rsid w:val="00227D41"/>
    <w:rsid w:val="00230200"/>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502BB"/>
    <w:rsid w:val="00250917"/>
    <w:rsid w:val="00250C70"/>
    <w:rsid w:val="00252028"/>
    <w:rsid w:val="00252846"/>
    <w:rsid w:val="00252C14"/>
    <w:rsid w:val="00252D1E"/>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595B"/>
    <w:rsid w:val="00275F6F"/>
    <w:rsid w:val="00276EB1"/>
    <w:rsid w:val="002804A0"/>
    <w:rsid w:val="0028073D"/>
    <w:rsid w:val="0028116B"/>
    <w:rsid w:val="002818A5"/>
    <w:rsid w:val="002820E0"/>
    <w:rsid w:val="0028220B"/>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40D"/>
    <w:rsid w:val="002B08A6"/>
    <w:rsid w:val="002B10D4"/>
    <w:rsid w:val="002B193D"/>
    <w:rsid w:val="002B2731"/>
    <w:rsid w:val="002B2AE3"/>
    <w:rsid w:val="002B2FC3"/>
    <w:rsid w:val="002B3BBB"/>
    <w:rsid w:val="002B424C"/>
    <w:rsid w:val="002B4E77"/>
    <w:rsid w:val="002B6222"/>
    <w:rsid w:val="002B6233"/>
    <w:rsid w:val="002B62D1"/>
    <w:rsid w:val="002B6C18"/>
    <w:rsid w:val="002B7F3D"/>
    <w:rsid w:val="002C057F"/>
    <w:rsid w:val="002C0ABF"/>
    <w:rsid w:val="002C153E"/>
    <w:rsid w:val="002C1635"/>
    <w:rsid w:val="002C20E3"/>
    <w:rsid w:val="002C21D8"/>
    <w:rsid w:val="002C2693"/>
    <w:rsid w:val="002C275A"/>
    <w:rsid w:val="002C28F3"/>
    <w:rsid w:val="002C3166"/>
    <w:rsid w:val="002C32CF"/>
    <w:rsid w:val="002C5379"/>
    <w:rsid w:val="002C56C8"/>
    <w:rsid w:val="002C59EA"/>
    <w:rsid w:val="002C5D13"/>
    <w:rsid w:val="002C60CF"/>
    <w:rsid w:val="002C6FD9"/>
    <w:rsid w:val="002C70BE"/>
    <w:rsid w:val="002D0A4B"/>
    <w:rsid w:val="002D1FC0"/>
    <w:rsid w:val="002D2FDD"/>
    <w:rsid w:val="002D370D"/>
    <w:rsid w:val="002D37AC"/>
    <w:rsid w:val="002D3DDE"/>
    <w:rsid w:val="002D4165"/>
    <w:rsid w:val="002D41BE"/>
    <w:rsid w:val="002D4892"/>
    <w:rsid w:val="002D5967"/>
    <w:rsid w:val="002D64A5"/>
    <w:rsid w:val="002D7C04"/>
    <w:rsid w:val="002E055C"/>
    <w:rsid w:val="002E08F3"/>
    <w:rsid w:val="002E0AB3"/>
    <w:rsid w:val="002E0F49"/>
    <w:rsid w:val="002E1421"/>
    <w:rsid w:val="002E1B30"/>
    <w:rsid w:val="002E355D"/>
    <w:rsid w:val="002E3EDD"/>
    <w:rsid w:val="002E4746"/>
    <w:rsid w:val="002E49EE"/>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DE1"/>
    <w:rsid w:val="002F6207"/>
    <w:rsid w:val="002F6DFE"/>
    <w:rsid w:val="002F6EAE"/>
    <w:rsid w:val="002F7101"/>
    <w:rsid w:val="0030081F"/>
    <w:rsid w:val="0030125B"/>
    <w:rsid w:val="00301B38"/>
    <w:rsid w:val="00301C41"/>
    <w:rsid w:val="00301C4A"/>
    <w:rsid w:val="003028AD"/>
    <w:rsid w:val="00302B42"/>
    <w:rsid w:val="00302ED0"/>
    <w:rsid w:val="0030460F"/>
    <w:rsid w:val="00304620"/>
    <w:rsid w:val="00304990"/>
    <w:rsid w:val="00304B10"/>
    <w:rsid w:val="00304B9C"/>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357"/>
    <w:rsid w:val="00317BE9"/>
    <w:rsid w:val="00317D20"/>
    <w:rsid w:val="00320018"/>
    <w:rsid w:val="003205A2"/>
    <w:rsid w:val="00320EF5"/>
    <w:rsid w:val="003219AB"/>
    <w:rsid w:val="00323202"/>
    <w:rsid w:val="003238B3"/>
    <w:rsid w:val="00323A0A"/>
    <w:rsid w:val="00323D9D"/>
    <w:rsid w:val="003246DA"/>
    <w:rsid w:val="00324E4E"/>
    <w:rsid w:val="003250CE"/>
    <w:rsid w:val="003255DB"/>
    <w:rsid w:val="00325BEA"/>
    <w:rsid w:val="00325E17"/>
    <w:rsid w:val="00325E4D"/>
    <w:rsid w:val="003265DC"/>
    <w:rsid w:val="00326645"/>
    <w:rsid w:val="00326973"/>
    <w:rsid w:val="00327652"/>
    <w:rsid w:val="00327A2E"/>
    <w:rsid w:val="00327DD4"/>
    <w:rsid w:val="00327F1A"/>
    <w:rsid w:val="00330430"/>
    <w:rsid w:val="003313C6"/>
    <w:rsid w:val="00331DF2"/>
    <w:rsid w:val="00331FF3"/>
    <w:rsid w:val="0033220F"/>
    <w:rsid w:val="003323D4"/>
    <w:rsid w:val="00334A7B"/>
    <w:rsid w:val="00335A40"/>
    <w:rsid w:val="00337135"/>
    <w:rsid w:val="00337548"/>
    <w:rsid w:val="00337708"/>
    <w:rsid w:val="00340CA9"/>
    <w:rsid w:val="003416E1"/>
    <w:rsid w:val="00341DED"/>
    <w:rsid w:val="0034292B"/>
    <w:rsid w:val="00343D94"/>
    <w:rsid w:val="00344876"/>
    <w:rsid w:val="003449E7"/>
    <w:rsid w:val="00346385"/>
    <w:rsid w:val="003478E2"/>
    <w:rsid w:val="003479E5"/>
    <w:rsid w:val="00347B20"/>
    <w:rsid w:val="00350F66"/>
    <w:rsid w:val="00350F9D"/>
    <w:rsid w:val="0035100C"/>
    <w:rsid w:val="003515A3"/>
    <w:rsid w:val="003518BC"/>
    <w:rsid w:val="00352101"/>
    <w:rsid w:val="00352BC3"/>
    <w:rsid w:val="003539BD"/>
    <w:rsid w:val="00353A61"/>
    <w:rsid w:val="00354D7D"/>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2CE"/>
    <w:rsid w:val="00375510"/>
    <w:rsid w:val="00375AFC"/>
    <w:rsid w:val="00376536"/>
    <w:rsid w:val="00376BE3"/>
    <w:rsid w:val="00376F4D"/>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90D"/>
    <w:rsid w:val="003A23AF"/>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23FB"/>
    <w:rsid w:val="003D35A5"/>
    <w:rsid w:val="003D3819"/>
    <w:rsid w:val="003D3E86"/>
    <w:rsid w:val="003D4E42"/>
    <w:rsid w:val="003D50FA"/>
    <w:rsid w:val="003D55F3"/>
    <w:rsid w:val="003D5D91"/>
    <w:rsid w:val="003D5FAD"/>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336D"/>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3409"/>
    <w:rsid w:val="00413972"/>
    <w:rsid w:val="00414374"/>
    <w:rsid w:val="00415D4E"/>
    <w:rsid w:val="004177BB"/>
    <w:rsid w:val="00421E21"/>
    <w:rsid w:val="004235D6"/>
    <w:rsid w:val="00423A6C"/>
    <w:rsid w:val="00423C63"/>
    <w:rsid w:val="00424944"/>
    <w:rsid w:val="00424CD8"/>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9C7"/>
    <w:rsid w:val="00435051"/>
    <w:rsid w:val="00435A59"/>
    <w:rsid w:val="00435B49"/>
    <w:rsid w:val="004366E3"/>
    <w:rsid w:val="004374DC"/>
    <w:rsid w:val="00437AC3"/>
    <w:rsid w:val="0044143D"/>
    <w:rsid w:val="00441FB0"/>
    <w:rsid w:val="00442B04"/>
    <w:rsid w:val="00443D6C"/>
    <w:rsid w:val="00443F93"/>
    <w:rsid w:val="00445486"/>
    <w:rsid w:val="00446CEC"/>
    <w:rsid w:val="00447337"/>
    <w:rsid w:val="0044762B"/>
    <w:rsid w:val="0045051F"/>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3A6"/>
    <w:rsid w:val="0046788F"/>
    <w:rsid w:val="004678DF"/>
    <w:rsid w:val="00467E97"/>
    <w:rsid w:val="00471337"/>
    <w:rsid w:val="0047184F"/>
    <w:rsid w:val="00472D60"/>
    <w:rsid w:val="00472E68"/>
    <w:rsid w:val="00472F07"/>
    <w:rsid w:val="0047429D"/>
    <w:rsid w:val="0047535C"/>
    <w:rsid w:val="004763BA"/>
    <w:rsid w:val="0047655C"/>
    <w:rsid w:val="0047664E"/>
    <w:rsid w:val="004772E7"/>
    <w:rsid w:val="00477B8E"/>
    <w:rsid w:val="0048105F"/>
    <w:rsid w:val="0048147B"/>
    <w:rsid w:val="00482138"/>
    <w:rsid w:val="00482320"/>
    <w:rsid w:val="00482525"/>
    <w:rsid w:val="004826DC"/>
    <w:rsid w:val="004827A2"/>
    <w:rsid w:val="004839E8"/>
    <w:rsid w:val="004842B2"/>
    <w:rsid w:val="004843BA"/>
    <w:rsid w:val="004846ED"/>
    <w:rsid w:val="00484836"/>
    <w:rsid w:val="0048506D"/>
    <w:rsid w:val="00485292"/>
    <w:rsid w:val="00485458"/>
    <w:rsid w:val="00487CD0"/>
    <w:rsid w:val="00490EBF"/>
    <w:rsid w:val="00491162"/>
    <w:rsid w:val="004911EE"/>
    <w:rsid w:val="00491578"/>
    <w:rsid w:val="004919E5"/>
    <w:rsid w:val="00492904"/>
    <w:rsid w:val="00492D6E"/>
    <w:rsid w:val="00493116"/>
    <w:rsid w:val="004931DD"/>
    <w:rsid w:val="00493535"/>
    <w:rsid w:val="00493C12"/>
    <w:rsid w:val="00493EF7"/>
    <w:rsid w:val="004940D5"/>
    <w:rsid w:val="004941AD"/>
    <w:rsid w:val="00494972"/>
    <w:rsid w:val="00494B17"/>
    <w:rsid w:val="00494F3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32D8"/>
    <w:rsid w:val="004A3339"/>
    <w:rsid w:val="004A42D4"/>
    <w:rsid w:val="004A48A8"/>
    <w:rsid w:val="004A4ED6"/>
    <w:rsid w:val="004A50BD"/>
    <w:rsid w:val="004A5E3F"/>
    <w:rsid w:val="004A5FF7"/>
    <w:rsid w:val="004A6252"/>
    <w:rsid w:val="004A6462"/>
    <w:rsid w:val="004A6EC8"/>
    <w:rsid w:val="004A76AF"/>
    <w:rsid w:val="004A774C"/>
    <w:rsid w:val="004A7767"/>
    <w:rsid w:val="004B0022"/>
    <w:rsid w:val="004B01C2"/>
    <w:rsid w:val="004B0B99"/>
    <w:rsid w:val="004B1423"/>
    <w:rsid w:val="004B1F03"/>
    <w:rsid w:val="004B28AE"/>
    <w:rsid w:val="004B3791"/>
    <w:rsid w:val="004B458F"/>
    <w:rsid w:val="004B53F0"/>
    <w:rsid w:val="004B59A2"/>
    <w:rsid w:val="004B629D"/>
    <w:rsid w:val="004B6983"/>
    <w:rsid w:val="004B6A81"/>
    <w:rsid w:val="004B6E1C"/>
    <w:rsid w:val="004B6F06"/>
    <w:rsid w:val="004B72A2"/>
    <w:rsid w:val="004B7788"/>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04CC"/>
    <w:rsid w:val="004E116C"/>
    <w:rsid w:val="004E1239"/>
    <w:rsid w:val="004E206F"/>
    <w:rsid w:val="004E2CFB"/>
    <w:rsid w:val="004E554F"/>
    <w:rsid w:val="004E5929"/>
    <w:rsid w:val="004E6522"/>
    <w:rsid w:val="004E74A0"/>
    <w:rsid w:val="004F03D7"/>
    <w:rsid w:val="004F0DB7"/>
    <w:rsid w:val="004F1F0E"/>
    <w:rsid w:val="004F1F71"/>
    <w:rsid w:val="004F2325"/>
    <w:rsid w:val="004F2D51"/>
    <w:rsid w:val="004F2FA9"/>
    <w:rsid w:val="004F32AE"/>
    <w:rsid w:val="004F3478"/>
    <w:rsid w:val="004F3C56"/>
    <w:rsid w:val="004F402D"/>
    <w:rsid w:val="004F4DCF"/>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82C"/>
    <w:rsid w:val="00511DCE"/>
    <w:rsid w:val="005136D5"/>
    <w:rsid w:val="0051451A"/>
    <w:rsid w:val="00514741"/>
    <w:rsid w:val="00514A2C"/>
    <w:rsid w:val="00516794"/>
    <w:rsid w:val="005167CD"/>
    <w:rsid w:val="0051697B"/>
    <w:rsid w:val="0052149A"/>
    <w:rsid w:val="005217B9"/>
    <w:rsid w:val="00521D07"/>
    <w:rsid w:val="00521D8A"/>
    <w:rsid w:val="005224DB"/>
    <w:rsid w:val="005232A7"/>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C3A"/>
    <w:rsid w:val="00534CB0"/>
    <w:rsid w:val="005350A2"/>
    <w:rsid w:val="00535676"/>
    <w:rsid w:val="00536E95"/>
    <w:rsid w:val="00536F9B"/>
    <w:rsid w:val="00537492"/>
    <w:rsid w:val="00541907"/>
    <w:rsid w:val="00541EB8"/>
    <w:rsid w:val="005424E1"/>
    <w:rsid w:val="00543141"/>
    <w:rsid w:val="00543916"/>
    <w:rsid w:val="00543F2B"/>
    <w:rsid w:val="00545247"/>
    <w:rsid w:val="00545AD2"/>
    <w:rsid w:val="00545E9F"/>
    <w:rsid w:val="00546083"/>
    <w:rsid w:val="00546A28"/>
    <w:rsid w:val="0054768C"/>
    <w:rsid w:val="00551BC5"/>
    <w:rsid w:val="005522A5"/>
    <w:rsid w:val="00552E23"/>
    <w:rsid w:val="00553518"/>
    <w:rsid w:val="005545EE"/>
    <w:rsid w:val="00554B31"/>
    <w:rsid w:val="00554F11"/>
    <w:rsid w:val="00555BB4"/>
    <w:rsid w:val="005563D0"/>
    <w:rsid w:val="00556641"/>
    <w:rsid w:val="00557B91"/>
    <w:rsid w:val="00560EA7"/>
    <w:rsid w:val="005630E6"/>
    <w:rsid w:val="00564D1C"/>
    <w:rsid w:val="00565104"/>
    <w:rsid w:val="005654CC"/>
    <w:rsid w:val="00565911"/>
    <w:rsid w:val="00565DAC"/>
    <w:rsid w:val="00570570"/>
    <w:rsid w:val="00570B89"/>
    <w:rsid w:val="0057165B"/>
    <w:rsid w:val="00571F57"/>
    <w:rsid w:val="00572703"/>
    <w:rsid w:val="00574AE9"/>
    <w:rsid w:val="0057526D"/>
    <w:rsid w:val="005759A8"/>
    <w:rsid w:val="00575F37"/>
    <w:rsid w:val="005765A5"/>
    <w:rsid w:val="00576633"/>
    <w:rsid w:val="00576C86"/>
    <w:rsid w:val="0058018E"/>
    <w:rsid w:val="005808D4"/>
    <w:rsid w:val="005812F4"/>
    <w:rsid w:val="005813DD"/>
    <w:rsid w:val="00581CB8"/>
    <w:rsid w:val="005827A2"/>
    <w:rsid w:val="005833A9"/>
    <w:rsid w:val="005833F6"/>
    <w:rsid w:val="005836EA"/>
    <w:rsid w:val="00583777"/>
    <w:rsid w:val="00583CE4"/>
    <w:rsid w:val="00584B08"/>
    <w:rsid w:val="005856F7"/>
    <w:rsid w:val="00587258"/>
    <w:rsid w:val="00587EE1"/>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24CC"/>
    <w:rsid w:val="005A2E5B"/>
    <w:rsid w:val="005A31AB"/>
    <w:rsid w:val="005A3452"/>
    <w:rsid w:val="005A35DB"/>
    <w:rsid w:val="005A4315"/>
    <w:rsid w:val="005A4A09"/>
    <w:rsid w:val="005A4A51"/>
    <w:rsid w:val="005A4A5B"/>
    <w:rsid w:val="005A56E5"/>
    <w:rsid w:val="005A5AAD"/>
    <w:rsid w:val="005A6FBC"/>
    <w:rsid w:val="005A76BF"/>
    <w:rsid w:val="005A7ED4"/>
    <w:rsid w:val="005B010D"/>
    <w:rsid w:val="005B08B3"/>
    <w:rsid w:val="005B153B"/>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499F"/>
    <w:rsid w:val="005D4D80"/>
    <w:rsid w:val="005D65E6"/>
    <w:rsid w:val="005D6E4C"/>
    <w:rsid w:val="005D6F45"/>
    <w:rsid w:val="005D7024"/>
    <w:rsid w:val="005D71F0"/>
    <w:rsid w:val="005D7307"/>
    <w:rsid w:val="005D770D"/>
    <w:rsid w:val="005D775A"/>
    <w:rsid w:val="005D7E59"/>
    <w:rsid w:val="005E0505"/>
    <w:rsid w:val="005E26BD"/>
    <w:rsid w:val="005E321D"/>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C3D"/>
    <w:rsid w:val="005F5E68"/>
    <w:rsid w:val="005F70AC"/>
    <w:rsid w:val="005F7248"/>
    <w:rsid w:val="005F72A2"/>
    <w:rsid w:val="005F78E2"/>
    <w:rsid w:val="005F79C7"/>
    <w:rsid w:val="005F7BAD"/>
    <w:rsid w:val="00601810"/>
    <w:rsid w:val="00601BEF"/>
    <w:rsid w:val="0060218E"/>
    <w:rsid w:val="006021B4"/>
    <w:rsid w:val="00602309"/>
    <w:rsid w:val="00602679"/>
    <w:rsid w:val="00603230"/>
    <w:rsid w:val="006055D0"/>
    <w:rsid w:val="00605D98"/>
    <w:rsid w:val="006064C7"/>
    <w:rsid w:val="006065A0"/>
    <w:rsid w:val="006076BE"/>
    <w:rsid w:val="006104F0"/>
    <w:rsid w:val="006108BA"/>
    <w:rsid w:val="00610A88"/>
    <w:rsid w:val="0061355B"/>
    <w:rsid w:val="006135AF"/>
    <w:rsid w:val="00614414"/>
    <w:rsid w:val="00614442"/>
    <w:rsid w:val="00615017"/>
    <w:rsid w:val="00615660"/>
    <w:rsid w:val="006161E8"/>
    <w:rsid w:val="00617138"/>
    <w:rsid w:val="006207BB"/>
    <w:rsid w:val="00622659"/>
    <w:rsid w:val="00622B35"/>
    <w:rsid w:val="00623820"/>
    <w:rsid w:val="00623A04"/>
    <w:rsid w:val="00624B8F"/>
    <w:rsid w:val="0062569E"/>
    <w:rsid w:val="00625F3A"/>
    <w:rsid w:val="00626519"/>
    <w:rsid w:val="006268CF"/>
    <w:rsid w:val="00627016"/>
    <w:rsid w:val="0063112C"/>
    <w:rsid w:val="00631583"/>
    <w:rsid w:val="006316B1"/>
    <w:rsid w:val="006319B0"/>
    <w:rsid w:val="00631F5E"/>
    <w:rsid w:val="00632020"/>
    <w:rsid w:val="00632035"/>
    <w:rsid w:val="00632EB2"/>
    <w:rsid w:val="00634682"/>
    <w:rsid w:val="0063496D"/>
    <w:rsid w:val="00636054"/>
    <w:rsid w:val="00636608"/>
    <w:rsid w:val="006379DA"/>
    <w:rsid w:val="00637DBA"/>
    <w:rsid w:val="00640749"/>
    <w:rsid w:val="00641952"/>
    <w:rsid w:val="00642D03"/>
    <w:rsid w:val="0064420F"/>
    <w:rsid w:val="0064465A"/>
    <w:rsid w:val="00644C17"/>
    <w:rsid w:val="00644EAE"/>
    <w:rsid w:val="00645082"/>
    <w:rsid w:val="00645558"/>
    <w:rsid w:val="00645BC6"/>
    <w:rsid w:val="0064691A"/>
    <w:rsid w:val="006471F4"/>
    <w:rsid w:val="00647774"/>
    <w:rsid w:val="00647B9B"/>
    <w:rsid w:val="006501A3"/>
    <w:rsid w:val="0065137C"/>
    <w:rsid w:val="00651941"/>
    <w:rsid w:val="00652316"/>
    <w:rsid w:val="00653451"/>
    <w:rsid w:val="00653B61"/>
    <w:rsid w:val="0065412C"/>
    <w:rsid w:val="00654636"/>
    <w:rsid w:val="00654B98"/>
    <w:rsid w:val="00654DFA"/>
    <w:rsid w:val="00655457"/>
    <w:rsid w:val="0065554D"/>
    <w:rsid w:val="006556C3"/>
    <w:rsid w:val="0065674E"/>
    <w:rsid w:val="00657332"/>
    <w:rsid w:val="0065752D"/>
    <w:rsid w:val="006577E1"/>
    <w:rsid w:val="006578CB"/>
    <w:rsid w:val="00657907"/>
    <w:rsid w:val="006607FE"/>
    <w:rsid w:val="00660F52"/>
    <w:rsid w:val="006611CF"/>
    <w:rsid w:val="006613EF"/>
    <w:rsid w:val="00661778"/>
    <w:rsid w:val="00662A79"/>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F37"/>
    <w:rsid w:val="00674278"/>
    <w:rsid w:val="00674FD7"/>
    <w:rsid w:val="006752CF"/>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46CF"/>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612D"/>
    <w:rsid w:val="006A61D4"/>
    <w:rsid w:val="006A6ECA"/>
    <w:rsid w:val="006A74A7"/>
    <w:rsid w:val="006A74EE"/>
    <w:rsid w:val="006A76B7"/>
    <w:rsid w:val="006B0357"/>
    <w:rsid w:val="006B2094"/>
    <w:rsid w:val="006B2B86"/>
    <w:rsid w:val="006B3FD7"/>
    <w:rsid w:val="006B40B7"/>
    <w:rsid w:val="006B4B9B"/>
    <w:rsid w:val="006B4EEA"/>
    <w:rsid w:val="006B5AA3"/>
    <w:rsid w:val="006B76B9"/>
    <w:rsid w:val="006B7C48"/>
    <w:rsid w:val="006C0450"/>
    <w:rsid w:val="006C07ED"/>
    <w:rsid w:val="006C1E78"/>
    <w:rsid w:val="006C3BE1"/>
    <w:rsid w:val="006C4439"/>
    <w:rsid w:val="006C6274"/>
    <w:rsid w:val="006C6685"/>
    <w:rsid w:val="006C6B40"/>
    <w:rsid w:val="006C7B30"/>
    <w:rsid w:val="006D1F36"/>
    <w:rsid w:val="006D218E"/>
    <w:rsid w:val="006D23E9"/>
    <w:rsid w:val="006D3A99"/>
    <w:rsid w:val="006D3D20"/>
    <w:rsid w:val="006D41A4"/>
    <w:rsid w:val="006D43FB"/>
    <w:rsid w:val="006D5694"/>
    <w:rsid w:val="006D5770"/>
    <w:rsid w:val="006D581D"/>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9E4"/>
    <w:rsid w:val="006F5277"/>
    <w:rsid w:val="006F788C"/>
    <w:rsid w:val="007001E1"/>
    <w:rsid w:val="00700BD2"/>
    <w:rsid w:val="007011D6"/>
    <w:rsid w:val="00702266"/>
    <w:rsid w:val="00704083"/>
    <w:rsid w:val="00704201"/>
    <w:rsid w:val="00704944"/>
    <w:rsid w:val="00704CB6"/>
    <w:rsid w:val="007051C1"/>
    <w:rsid w:val="0070578E"/>
    <w:rsid w:val="00705B8E"/>
    <w:rsid w:val="0070673B"/>
    <w:rsid w:val="00706849"/>
    <w:rsid w:val="00707DBE"/>
    <w:rsid w:val="00710096"/>
    <w:rsid w:val="007111DC"/>
    <w:rsid w:val="007118F1"/>
    <w:rsid w:val="00713869"/>
    <w:rsid w:val="007168B2"/>
    <w:rsid w:val="00716AAF"/>
    <w:rsid w:val="00716B43"/>
    <w:rsid w:val="00716F05"/>
    <w:rsid w:val="00717417"/>
    <w:rsid w:val="00717578"/>
    <w:rsid w:val="00720F30"/>
    <w:rsid w:val="007214C7"/>
    <w:rsid w:val="00721A9F"/>
    <w:rsid w:val="00722BC8"/>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A36"/>
    <w:rsid w:val="00740C40"/>
    <w:rsid w:val="007416F9"/>
    <w:rsid w:val="00743699"/>
    <w:rsid w:val="00743887"/>
    <w:rsid w:val="00743D25"/>
    <w:rsid w:val="00744749"/>
    <w:rsid w:val="007447AC"/>
    <w:rsid w:val="007456B1"/>
    <w:rsid w:val="00745F26"/>
    <w:rsid w:val="00745F57"/>
    <w:rsid w:val="00746580"/>
    <w:rsid w:val="007465B6"/>
    <w:rsid w:val="007468DF"/>
    <w:rsid w:val="007502D3"/>
    <w:rsid w:val="007524CB"/>
    <w:rsid w:val="007528F3"/>
    <w:rsid w:val="0075338F"/>
    <w:rsid w:val="007534AD"/>
    <w:rsid w:val="00753716"/>
    <w:rsid w:val="00753CFD"/>
    <w:rsid w:val="0075423F"/>
    <w:rsid w:val="00754AF1"/>
    <w:rsid w:val="0075555B"/>
    <w:rsid w:val="00755704"/>
    <w:rsid w:val="0075588F"/>
    <w:rsid w:val="007563E8"/>
    <w:rsid w:val="0075670D"/>
    <w:rsid w:val="007568CB"/>
    <w:rsid w:val="00756CEE"/>
    <w:rsid w:val="00756DA9"/>
    <w:rsid w:val="00757C07"/>
    <w:rsid w:val="00760693"/>
    <w:rsid w:val="00760CE5"/>
    <w:rsid w:val="007616E4"/>
    <w:rsid w:val="00762489"/>
    <w:rsid w:val="007627CC"/>
    <w:rsid w:val="00763355"/>
    <w:rsid w:val="00763BE8"/>
    <w:rsid w:val="00763E7E"/>
    <w:rsid w:val="00764562"/>
    <w:rsid w:val="007653FB"/>
    <w:rsid w:val="007655D8"/>
    <w:rsid w:val="00765671"/>
    <w:rsid w:val="007657CB"/>
    <w:rsid w:val="00765FCC"/>
    <w:rsid w:val="0076634F"/>
    <w:rsid w:val="00766E7B"/>
    <w:rsid w:val="007672DA"/>
    <w:rsid w:val="007701AF"/>
    <w:rsid w:val="00770554"/>
    <w:rsid w:val="00771521"/>
    <w:rsid w:val="00771669"/>
    <w:rsid w:val="00772558"/>
    <w:rsid w:val="00772C37"/>
    <w:rsid w:val="00772FFE"/>
    <w:rsid w:val="00773F22"/>
    <w:rsid w:val="00774A2B"/>
    <w:rsid w:val="007750FD"/>
    <w:rsid w:val="00775AC7"/>
    <w:rsid w:val="00775EB6"/>
    <w:rsid w:val="007761B8"/>
    <w:rsid w:val="00776D2D"/>
    <w:rsid w:val="00777996"/>
    <w:rsid w:val="00780005"/>
    <w:rsid w:val="007805AD"/>
    <w:rsid w:val="0078107E"/>
    <w:rsid w:val="00781638"/>
    <w:rsid w:val="00781D58"/>
    <w:rsid w:val="00781E2F"/>
    <w:rsid w:val="0078202A"/>
    <w:rsid w:val="0078234A"/>
    <w:rsid w:val="007825E2"/>
    <w:rsid w:val="00782621"/>
    <w:rsid w:val="007854C1"/>
    <w:rsid w:val="00785A79"/>
    <w:rsid w:val="00787331"/>
    <w:rsid w:val="0078754A"/>
    <w:rsid w:val="00787AF4"/>
    <w:rsid w:val="00790282"/>
    <w:rsid w:val="0079094D"/>
    <w:rsid w:val="007912F5"/>
    <w:rsid w:val="00792578"/>
    <w:rsid w:val="0079287B"/>
    <w:rsid w:val="00792E62"/>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EAE"/>
    <w:rsid w:val="007B021E"/>
    <w:rsid w:val="007B1384"/>
    <w:rsid w:val="007B15F1"/>
    <w:rsid w:val="007B36B4"/>
    <w:rsid w:val="007B3FC6"/>
    <w:rsid w:val="007B40F0"/>
    <w:rsid w:val="007B50A5"/>
    <w:rsid w:val="007B58D1"/>
    <w:rsid w:val="007B611B"/>
    <w:rsid w:val="007B67AB"/>
    <w:rsid w:val="007B6949"/>
    <w:rsid w:val="007C038F"/>
    <w:rsid w:val="007C111E"/>
    <w:rsid w:val="007C1816"/>
    <w:rsid w:val="007C1B01"/>
    <w:rsid w:val="007C1C72"/>
    <w:rsid w:val="007C2D0F"/>
    <w:rsid w:val="007C3411"/>
    <w:rsid w:val="007C3709"/>
    <w:rsid w:val="007C3803"/>
    <w:rsid w:val="007C4718"/>
    <w:rsid w:val="007C5A1A"/>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6B75"/>
    <w:rsid w:val="007E7CCB"/>
    <w:rsid w:val="007F20B6"/>
    <w:rsid w:val="007F2964"/>
    <w:rsid w:val="007F3DBA"/>
    <w:rsid w:val="007F4327"/>
    <w:rsid w:val="007F461A"/>
    <w:rsid w:val="007F64FE"/>
    <w:rsid w:val="007F6719"/>
    <w:rsid w:val="007F6E57"/>
    <w:rsid w:val="007F7606"/>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732A"/>
    <w:rsid w:val="008174D1"/>
    <w:rsid w:val="0081769A"/>
    <w:rsid w:val="008176D0"/>
    <w:rsid w:val="0081787B"/>
    <w:rsid w:val="00817AFF"/>
    <w:rsid w:val="00817E9B"/>
    <w:rsid w:val="00820F49"/>
    <w:rsid w:val="0082234C"/>
    <w:rsid w:val="008238C9"/>
    <w:rsid w:val="00824999"/>
    <w:rsid w:val="00824CEE"/>
    <w:rsid w:val="008250C0"/>
    <w:rsid w:val="0082757D"/>
    <w:rsid w:val="008305DA"/>
    <w:rsid w:val="00831C78"/>
    <w:rsid w:val="00832001"/>
    <w:rsid w:val="00832D7B"/>
    <w:rsid w:val="0083368F"/>
    <w:rsid w:val="0083389E"/>
    <w:rsid w:val="00833EEA"/>
    <w:rsid w:val="008346A5"/>
    <w:rsid w:val="00835479"/>
    <w:rsid w:val="008368AD"/>
    <w:rsid w:val="00836C69"/>
    <w:rsid w:val="00837057"/>
    <w:rsid w:val="008371FD"/>
    <w:rsid w:val="00837D2A"/>
    <w:rsid w:val="00841948"/>
    <w:rsid w:val="00841DF5"/>
    <w:rsid w:val="00841F67"/>
    <w:rsid w:val="008425C2"/>
    <w:rsid w:val="00843A15"/>
    <w:rsid w:val="00843D8B"/>
    <w:rsid w:val="00844301"/>
    <w:rsid w:val="00844709"/>
    <w:rsid w:val="00844CC0"/>
    <w:rsid w:val="008469BF"/>
    <w:rsid w:val="008479EE"/>
    <w:rsid w:val="00847FBA"/>
    <w:rsid w:val="008504E1"/>
    <w:rsid w:val="00850FBF"/>
    <w:rsid w:val="008516FC"/>
    <w:rsid w:val="00852049"/>
    <w:rsid w:val="00852562"/>
    <w:rsid w:val="00852945"/>
    <w:rsid w:val="00853886"/>
    <w:rsid w:val="00853E4A"/>
    <w:rsid w:val="0085417A"/>
    <w:rsid w:val="0085431D"/>
    <w:rsid w:val="00854891"/>
    <w:rsid w:val="00855311"/>
    <w:rsid w:val="00855552"/>
    <w:rsid w:val="0085597C"/>
    <w:rsid w:val="00855D90"/>
    <w:rsid w:val="00855E4E"/>
    <w:rsid w:val="00856391"/>
    <w:rsid w:val="008565A0"/>
    <w:rsid w:val="008565CF"/>
    <w:rsid w:val="00856BBF"/>
    <w:rsid w:val="00860134"/>
    <w:rsid w:val="008601A4"/>
    <w:rsid w:val="0086024F"/>
    <w:rsid w:val="00860549"/>
    <w:rsid w:val="0086187E"/>
    <w:rsid w:val="00861887"/>
    <w:rsid w:val="008619F8"/>
    <w:rsid w:val="00861AA3"/>
    <w:rsid w:val="00861B7B"/>
    <w:rsid w:val="0086210C"/>
    <w:rsid w:val="008624FA"/>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5795"/>
    <w:rsid w:val="00875948"/>
    <w:rsid w:val="00875C22"/>
    <w:rsid w:val="00875EB5"/>
    <w:rsid w:val="00876CD1"/>
    <w:rsid w:val="008774AB"/>
    <w:rsid w:val="00877666"/>
    <w:rsid w:val="008805E3"/>
    <w:rsid w:val="00880857"/>
    <w:rsid w:val="0088111D"/>
    <w:rsid w:val="00881C34"/>
    <w:rsid w:val="00882812"/>
    <w:rsid w:val="00882885"/>
    <w:rsid w:val="00882A54"/>
    <w:rsid w:val="00882DBF"/>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668"/>
    <w:rsid w:val="008A2958"/>
    <w:rsid w:val="008A2F51"/>
    <w:rsid w:val="008A30FE"/>
    <w:rsid w:val="008A4B5B"/>
    <w:rsid w:val="008A551C"/>
    <w:rsid w:val="008A5E52"/>
    <w:rsid w:val="008A5EAC"/>
    <w:rsid w:val="008A62F8"/>
    <w:rsid w:val="008A639B"/>
    <w:rsid w:val="008A6FB5"/>
    <w:rsid w:val="008A74B3"/>
    <w:rsid w:val="008A773D"/>
    <w:rsid w:val="008B0C8E"/>
    <w:rsid w:val="008B1D61"/>
    <w:rsid w:val="008B2DCC"/>
    <w:rsid w:val="008B3E6A"/>
    <w:rsid w:val="008B3F28"/>
    <w:rsid w:val="008B3FEF"/>
    <w:rsid w:val="008B42A6"/>
    <w:rsid w:val="008B43B4"/>
    <w:rsid w:val="008B43F9"/>
    <w:rsid w:val="008B53B7"/>
    <w:rsid w:val="008B5CF2"/>
    <w:rsid w:val="008B5F96"/>
    <w:rsid w:val="008B601E"/>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BDE"/>
    <w:rsid w:val="008C7279"/>
    <w:rsid w:val="008C7707"/>
    <w:rsid w:val="008C7D2A"/>
    <w:rsid w:val="008C7F7B"/>
    <w:rsid w:val="008D0302"/>
    <w:rsid w:val="008D0343"/>
    <w:rsid w:val="008D07EA"/>
    <w:rsid w:val="008D0990"/>
    <w:rsid w:val="008D1AE6"/>
    <w:rsid w:val="008D1EA3"/>
    <w:rsid w:val="008D213B"/>
    <w:rsid w:val="008D2239"/>
    <w:rsid w:val="008D230C"/>
    <w:rsid w:val="008D2328"/>
    <w:rsid w:val="008D347F"/>
    <w:rsid w:val="008D4229"/>
    <w:rsid w:val="008D48FF"/>
    <w:rsid w:val="008D4AE0"/>
    <w:rsid w:val="008D5944"/>
    <w:rsid w:val="008D616A"/>
    <w:rsid w:val="008D7987"/>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76C"/>
    <w:rsid w:val="00907BB7"/>
    <w:rsid w:val="0091075F"/>
    <w:rsid w:val="00910BAB"/>
    <w:rsid w:val="00910D8E"/>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95E"/>
    <w:rsid w:val="00920A7C"/>
    <w:rsid w:val="00920B77"/>
    <w:rsid w:val="00920EF7"/>
    <w:rsid w:val="009210BC"/>
    <w:rsid w:val="0092178B"/>
    <w:rsid w:val="00921B1E"/>
    <w:rsid w:val="009223C4"/>
    <w:rsid w:val="00923CD7"/>
    <w:rsid w:val="00923E9E"/>
    <w:rsid w:val="0092511C"/>
    <w:rsid w:val="00925AF2"/>
    <w:rsid w:val="009261F8"/>
    <w:rsid w:val="0092662E"/>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679D"/>
    <w:rsid w:val="009375EC"/>
    <w:rsid w:val="00940A79"/>
    <w:rsid w:val="009410EA"/>
    <w:rsid w:val="009411CD"/>
    <w:rsid w:val="0094122B"/>
    <w:rsid w:val="0094136E"/>
    <w:rsid w:val="00941C05"/>
    <w:rsid w:val="00941CBF"/>
    <w:rsid w:val="00944240"/>
    <w:rsid w:val="0094450E"/>
    <w:rsid w:val="00945840"/>
    <w:rsid w:val="00945AA8"/>
    <w:rsid w:val="00946065"/>
    <w:rsid w:val="00947055"/>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70C70"/>
    <w:rsid w:val="00971066"/>
    <w:rsid w:val="00971206"/>
    <w:rsid w:val="00971A6D"/>
    <w:rsid w:val="00971B8D"/>
    <w:rsid w:val="009729C8"/>
    <w:rsid w:val="009734F5"/>
    <w:rsid w:val="009735EB"/>
    <w:rsid w:val="009741A4"/>
    <w:rsid w:val="0097423E"/>
    <w:rsid w:val="0097438E"/>
    <w:rsid w:val="00974428"/>
    <w:rsid w:val="00974456"/>
    <w:rsid w:val="00974893"/>
    <w:rsid w:val="00975696"/>
    <w:rsid w:val="00976042"/>
    <w:rsid w:val="00977503"/>
    <w:rsid w:val="00977772"/>
    <w:rsid w:val="0098054E"/>
    <w:rsid w:val="009807EB"/>
    <w:rsid w:val="00980A5C"/>
    <w:rsid w:val="00981178"/>
    <w:rsid w:val="00981490"/>
    <w:rsid w:val="009816B4"/>
    <w:rsid w:val="00982717"/>
    <w:rsid w:val="0098299F"/>
    <w:rsid w:val="00983C89"/>
    <w:rsid w:val="009851CA"/>
    <w:rsid w:val="00985718"/>
    <w:rsid w:val="00986263"/>
    <w:rsid w:val="009868B2"/>
    <w:rsid w:val="00986A3E"/>
    <w:rsid w:val="00986C9E"/>
    <w:rsid w:val="0098713B"/>
    <w:rsid w:val="00987C94"/>
    <w:rsid w:val="00990552"/>
    <w:rsid w:val="00990ECC"/>
    <w:rsid w:val="00991883"/>
    <w:rsid w:val="00991FC6"/>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6F93"/>
    <w:rsid w:val="009A7616"/>
    <w:rsid w:val="009A7A0A"/>
    <w:rsid w:val="009B0822"/>
    <w:rsid w:val="009B1243"/>
    <w:rsid w:val="009B1844"/>
    <w:rsid w:val="009B2914"/>
    <w:rsid w:val="009B29E4"/>
    <w:rsid w:val="009B3559"/>
    <w:rsid w:val="009B375B"/>
    <w:rsid w:val="009B3EA9"/>
    <w:rsid w:val="009B4695"/>
    <w:rsid w:val="009B68C1"/>
    <w:rsid w:val="009B68CA"/>
    <w:rsid w:val="009B7A57"/>
    <w:rsid w:val="009C0775"/>
    <w:rsid w:val="009C0DB1"/>
    <w:rsid w:val="009C1791"/>
    <w:rsid w:val="009C17DF"/>
    <w:rsid w:val="009C2412"/>
    <w:rsid w:val="009C2DF6"/>
    <w:rsid w:val="009C3339"/>
    <w:rsid w:val="009C33D0"/>
    <w:rsid w:val="009C3BD1"/>
    <w:rsid w:val="009C3C19"/>
    <w:rsid w:val="009C4AB0"/>
    <w:rsid w:val="009C4AF3"/>
    <w:rsid w:val="009C5A2E"/>
    <w:rsid w:val="009C6079"/>
    <w:rsid w:val="009C63A3"/>
    <w:rsid w:val="009C687A"/>
    <w:rsid w:val="009C6AD0"/>
    <w:rsid w:val="009C7479"/>
    <w:rsid w:val="009C7D90"/>
    <w:rsid w:val="009D0271"/>
    <w:rsid w:val="009D1744"/>
    <w:rsid w:val="009D222B"/>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E1A11"/>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5340"/>
    <w:rsid w:val="009F595E"/>
    <w:rsid w:val="009F5DC6"/>
    <w:rsid w:val="009F62C2"/>
    <w:rsid w:val="009F6C58"/>
    <w:rsid w:val="009F6E6D"/>
    <w:rsid w:val="009F7E8F"/>
    <w:rsid w:val="00A00E71"/>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6F0B"/>
    <w:rsid w:val="00A171DE"/>
    <w:rsid w:val="00A2268B"/>
    <w:rsid w:val="00A239FA"/>
    <w:rsid w:val="00A23D77"/>
    <w:rsid w:val="00A244ED"/>
    <w:rsid w:val="00A24A3C"/>
    <w:rsid w:val="00A257F4"/>
    <w:rsid w:val="00A25D1F"/>
    <w:rsid w:val="00A25DC0"/>
    <w:rsid w:val="00A25F50"/>
    <w:rsid w:val="00A26328"/>
    <w:rsid w:val="00A264AF"/>
    <w:rsid w:val="00A2706C"/>
    <w:rsid w:val="00A27338"/>
    <w:rsid w:val="00A2744F"/>
    <w:rsid w:val="00A27608"/>
    <w:rsid w:val="00A306E1"/>
    <w:rsid w:val="00A30926"/>
    <w:rsid w:val="00A30DCB"/>
    <w:rsid w:val="00A31342"/>
    <w:rsid w:val="00A3302B"/>
    <w:rsid w:val="00A33824"/>
    <w:rsid w:val="00A34629"/>
    <w:rsid w:val="00A346F9"/>
    <w:rsid w:val="00A355F0"/>
    <w:rsid w:val="00A3710F"/>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50EA1"/>
    <w:rsid w:val="00A50EF6"/>
    <w:rsid w:val="00A5164C"/>
    <w:rsid w:val="00A51675"/>
    <w:rsid w:val="00A51702"/>
    <w:rsid w:val="00A5172C"/>
    <w:rsid w:val="00A51F76"/>
    <w:rsid w:val="00A5299C"/>
    <w:rsid w:val="00A52E62"/>
    <w:rsid w:val="00A5372C"/>
    <w:rsid w:val="00A53A6E"/>
    <w:rsid w:val="00A545F2"/>
    <w:rsid w:val="00A54950"/>
    <w:rsid w:val="00A55C13"/>
    <w:rsid w:val="00A5649A"/>
    <w:rsid w:val="00A56CD5"/>
    <w:rsid w:val="00A571A3"/>
    <w:rsid w:val="00A57A09"/>
    <w:rsid w:val="00A57F2F"/>
    <w:rsid w:val="00A60394"/>
    <w:rsid w:val="00A60D75"/>
    <w:rsid w:val="00A6182F"/>
    <w:rsid w:val="00A61981"/>
    <w:rsid w:val="00A61FCE"/>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C36"/>
    <w:rsid w:val="00A80F9B"/>
    <w:rsid w:val="00A8116A"/>
    <w:rsid w:val="00A821AD"/>
    <w:rsid w:val="00A82516"/>
    <w:rsid w:val="00A8285A"/>
    <w:rsid w:val="00A83450"/>
    <w:rsid w:val="00A83591"/>
    <w:rsid w:val="00A83AC7"/>
    <w:rsid w:val="00A83D00"/>
    <w:rsid w:val="00A84D50"/>
    <w:rsid w:val="00A856F7"/>
    <w:rsid w:val="00A86AD0"/>
    <w:rsid w:val="00A86CAF"/>
    <w:rsid w:val="00A87059"/>
    <w:rsid w:val="00A876B9"/>
    <w:rsid w:val="00A87E4B"/>
    <w:rsid w:val="00A87E96"/>
    <w:rsid w:val="00A90C13"/>
    <w:rsid w:val="00A919EC"/>
    <w:rsid w:val="00A91BC1"/>
    <w:rsid w:val="00A92470"/>
    <w:rsid w:val="00A9291B"/>
    <w:rsid w:val="00A93013"/>
    <w:rsid w:val="00A9379F"/>
    <w:rsid w:val="00A946CB"/>
    <w:rsid w:val="00A94893"/>
    <w:rsid w:val="00A94FCF"/>
    <w:rsid w:val="00A967DF"/>
    <w:rsid w:val="00A96A0A"/>
    <w:rsid w:val="00A96AE9"/>
    <w:rsid w:val="00A97258"/>
    <w:rsid w:val="00A97EF1"/>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2146"/>
    <w:rsid w:val="00AC46D0"/>
    <w:rsid w:val="00AC53AA"/>
    <w:rsid w:val="00AC5E72"/>
    <w:rsid w:val="00AC66D3"/>
    <w:rsid w:val="00AC6BA7"/>
    <w:rsid w:val="00AC7959"/>
    <w:rsid w:val="00AC7C7A"/>
    <w:rsid w:val="00AD03F1"/>
    <w:rsid w:val="00AD05A9"/>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45E7"/>
    <w:rsid w:val="00AE47F3"/>
    <w:rsid w:val="00AE5816"/>
    <w:rsid w:val="00AE607C"/>
    <w:rsid w:val="00AE63A9"/>
    <w:rsid w:val="00AE63B8"/>
    <w:rsid w:val="00AE66C8"/>
    <w:rsid w:val="00AE76FC"/>
    <w:rsid w:val="00AF0006"/>
    <w:rsid w:val="00AF0144"/>
    <w:rsid w:val="00AF15AB"/>
    <w:rsid w:val="00AF1755"/>
    <w:rsid w:val="00AF1A3B"/>
    <w:rsid w:val="00AF2B5B"/>
    <w:rsid w:val="00AF346A"/>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074D2"/>
    <w:rsid w:val="00B10B1C"/>
    <w:rsid w:val="00B11969"/>
    <w:rsid w:val="00B12537"/>
    <w:rsid w:val="00B12BC9"/>
    <w:rsid w:val="00B136B4"/>
    <w:rsid w:val="00B13E09"/>
    <w:rsid w:val="00B140F8"/>
    <w:rsid w:val="00B14CA5"/>
    <w:rsid w:val="00B1510B"/>
    <w:rsid w:val="00B16731"/>
    <w:rsid w:val="00B16926"/>
    <w:rsid w:val="00B1704F"/>
    <w:rsid w:val="00B1720B"/>
    <w:rsid w:val="00B17B56"/>
    <w:rsid w:val="00B17E1E"/>
    <w:rsid w:val="00B20B86"/>
    <w:rsid w:val="00B21636"/>
    <w:rsid w:val="00B2183A"/>
    <w:rsid w:val="00B21ACB"/>
    <w:rsid w:val="00B221A3"/>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6155"/>
    <w:rsid w:val="00B36461"/>
    <w:rsid w:val="00B37B9B"/>
    <w:rsid w:val="00B404F2"/>
    <w:rsid w:val="00B41824"/>
    <w:rsid w:val="00B424CC"/>
    <w:rsid w:val="00B44427"/>
    <w:rsid w:val="00B455D8"/>
    <w:rsid w:val="00B46A44"/>
    <w:rsid w:val="00B46DFB"/>
    <w:rsid w:val="00B47E83"/>
    <w:rsid w:val="00B50257"/>
    <w:rsid w:val="00B5032F"/>
    <w:rsid w:val="00B515CB"/>
    <w:rsid w:val="00B51A4C"/>
    <w:rsid w:val="00B526D6"/>
    <w:rsid w:val="00B52E66"/>
    <w:rsid w:val="00B533F9"/>
    <w:rsid w:val="00B53D80"/>
    <w:rsid w:val="00B54417"/>
    <w:rsid w:val="00B548EE"/>
    <w:rsid w:val="00B5566D"/>
    <w:rsid w:val="00B56625"/>
    <w:rsid w:val="00B56963"/>
    <w:rsid w:val="00B57165"/>
    <w:rsid w:val="00B572CF"/>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619A"/>
    <w:rsid w:val="00B6621B"/>
    <w:rsid w:val="00B669E1"/>
    <w:rsid w:val="00B66BE9"/>
    <w:rsid w:val="00B70012"/>
    <w:rsid w:val="00B70364"/>
    <w:rsid w:val="00B70572"/>
    <w:rsid w:val="00B70BDF"/>
    <w:rsid w:val="00B7179C"/>
    <w:rsid w:val="00B71E0D"/>
    <w:rsid w:val="00B72302"/>
    <w:rsid w:val="00B726C9"/>
    <w:rsid w:val="00B7456A"/>
    <w:rsid w:val="00B748B0"/>
    <w:rsid w:val="00B753CD"/>
    <w:rsid w:val="00B75628"/>
    <w:rsid w:val="00B7593F"/>
    <w:rsid w:val="00B75D95"/>
    <w:rsid w:val="00B75FA6"/>
    <w:rsid w:val="00B76BB8"/>
    <w:rsid w:val="00B773BE"/>
    <w:rsid w:val="00B7750C"/>
    <w:rsid w:val="00B81604"/>
    <w:rsid w:val="00B8185F"/>
    <w:rsid w:val="00B82889"/>
    <w:rsid w:val="00B83676"/>
    <w:rsid w:val="00B8436A"/>
    <w:rsid w:val="00B846D0"/>
    <w:rsid w:val="00B84F4D"/>
    <w:rsid w:val="00B8563A"/>
    <w:rsid w:val="00B86038"/>
    <w:rsid w:val="00B8620D"/>
    <w:rsid w:val="00B86CDC"/>
    <w:rsid w:val="00B87B28"/>
    <w:rsid w:val="00B905FE"/>
    <w:rsid w:val="00B90B9B"/>
    <w:rsid w:val="00B90D85"/>
    <w:rsid w:val="00B917BC"/>
    <w:rsid w:val="00B91A3B"/>
    <w:rsid w:val="00B92124"/>
    <w:rsid w:val="00B9219C"/>
    <w:rsid w:val="00B9220A"/>
    <w:rsid w:val="00B92F09"/>
    <w:rsid w:val="00B93510"/>
    <w:rsid w:val="00B94842"/>
    <w:rsid w:val="00B94B5B"/>
    <w:rsid w:val="00B95056"/>
    <w:rsid w:val="00B9678C"/>
    <w:rsid w:val="00B973AD"/>
    <w:rsid w:val="00BA01E9"/>
    <w:rsid w:val="00BA0A2B"/>
    <w:rsid w:val="00BA0CF1"/>
    <w:rsid w:val="00BA215C"/>
    <w:rsid w:val="00BA23F0"/>
    <w:rsid w:val="00BA29E5"/>
    <w:rsid w:val="00BA3B5D"/>
    <w:rsid w:val="00BA3D4C"/>
    <w:rsid w:val="00BA3E5F"/>
    <w:rsid w:val="00BA44BE"/>
    <w:rsid w:val="00BA5240"/>
    <w:rsid w:val="00BA7603"/>
    <w:rsid w:val="00BB0BA9"/>
    <w:rsid w:val="00BB1980"/>
    <w:rsid w:val="00BB1B00"/>
    <w:rsid w:val="00BB275E"/>
    <w:rsid w:val="00BB27C1"/>
    <w:rsid w:val="00BB3CDB"/>
    <w:rsid w:val="00BB5E07"/>
    <w:rsid w:val="00BB65A1"/>
    <w:rsid w:val="00BB7496"/>
    <w:rsid w:val="00BB7C41"/>
    <w:rsid w:val="00BB7EC9"/>
    <w:rsid w:val="00BC0131"/>
    <w:rsid w:val="00BC1BA0"/>
    <w:rsid w:val="00BC1CF6"/>
    <w:rsid w:val="00BC1F8B"/>
    <w:rsid w:val="00BC20AA"/>
    <w:rsid w:val="00BC20C0"/>
    <w:rsid w:val="00BC24BE"/>
    <w:rsid w:val="00BC2A15"/>
    <w:rsid w:val="00BC35B4"/>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634"/>
    <w:rsid w:val="00BE3AEE"/>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3C67"/>
    <w:rsid w:val="00C03FF6"/>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5AE"/>
    <w:rsid w:val="00C20AE8"/>
    <w:rsid w:val="00C210D9"/>
    <w:rsid w:val="00C219D1"/>
    <w:rsid w:val="00C21DB5"/>
    <w:rsid w:val="00C22B98"/>
    <w:rsid w:val="00C23392"/>
    <w:rsid w:val="00C2378E"/>
    <w:rsid w:val="00C23E5D"/>
    <w:rsid w:val="00C242CA"/>
    <w:rsid w:val="00C242EB"/>
    <w:rsid w:val="00C25377"/>
    <w:rsid w:val="00C26559"/>
    <w:rsid w:val="00C268A5"/>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3DB"/>
    <w:rsid w:val="00C46521"/>
    <w:rsid w:val="00C47843"/>
    <w:rsid w:val="00C507F9"/>
    <w:rsid w:val="00C50AEE"/>
    <w:rsid w:val="00C50DEE"/>
    <w:rsid w:val="00C52DAF"/>
    <w:rsid w:val="00C52E3B"/>
    <w:rsid w:val="00C532C3"/>
    <w:rsid w:val="00C53687"/>
    <w:rsid w:val="00C54BFA"/>
    <w:rsid w:val="00C5626B"/>
    <w:rsid w:val="00C56AF9"/>
    <w:rsid w:val="00C56C02"/>
    <w:rsid w:val="00C56CA3"/>
    <w:rsid w:val="00C56DB4"/>
    <w:rsid w:val="00C56DFB"/>
    <w:rsid w:val="00C575F7"/>
    <w:rsid w:val="00C57914"/>
    <w:rsid w:val="00C600DD"/>
    <w:rsid w:val="00C601B4"/>
    <w:rsid w:val="00C60C57"/>
    <w:rsid w:val="00C612B0"/>
    <w:rsid w:val="00C612CD"/>
    <w:rsid w:val="00C62864"/>
    <w:rsid w:val="00C62A5F"/>
    <w:rsid w:val="00C646BD"/>
    <w:rsid w:val="00C647E1"/>
    <w:rsid w:val="00C65007"/>
    <w:rsid w:val="00C652BE"/>
    <w:rsid w:val="00C65E38"/>
    <w:rsid w:val="00C666D4"/>
    <w:rsid w:val="00C67A4D"/>
    <w:rsid w:val="00C70254"/>
    <w:rsid w:val="00C702D3"/>
    <w:rsid w:val="00C7039B"/>
    <w:rsid w:val="00C704DD"/>
    <w:rsid w:val="00C70550"/>
    <w:rsid w:val="00C70F3C"/>
    <w:rsid w:val="00C71201"/>
    <w:rsid w:val="00C72910"/>
    <w:rsid w:val="00C72A16"/>
    <w:rsid w:val="00C7385D"/>
    <w:rsid w:val="00C7394B"/>
    <w:rsid w:val="00C73F08"/>
    <w:rsid w:val="00C745DE"/>
    <w:rsid w:val="00C75423"/>
    <w:rsid w:val="00C7582D"/>
    <w:rsid w:val="00C75B3F"/>
    <w:rsid w:val="00C76E22"/>
    <w:rsid w:val="00C77693"/>
    <w:rsid w:val="00C77A8C"/>
    <w:rsid w:val="00C77AAD"/>
    <w:rsid w:val="00C80A05"/>
    <w:rsid w:val="00C82E6A"/>
    <w:rsid w:val="00C83FC4"/>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7A6"/>
    <w:rsid w:val="00C96C34"/>
    <w:rsid w:val="00C96C48"/>
    <w:rsid w:val="00CA03BF"/>
    <w:rsid w:val="00CA03C8"/>
    <w:rsid w:val="00CA10D9"/>
    <w:rsid w:val="00CA1458"/>
    <w:rsid w:val="00CA35BB"/>
    <w:rsid w:val="00CA3C2B"/>
    <w:rsid w:val="00CA41D6"/>
    <w:rsid w:val="00CA4448"/>
    <w:rsid w:val="00CA4894"/>
    <w:rsid w:val="00CA4DBE"/>
    <w:rsid w:val="00CA5486"/>
    <w:rsid w:val="00CA5597"/>
    <w:rsid w:val="00CA58D9"/>
    <w:rsid w:val="00CA6565"/>
    <w:rsid w:val="00CA67D4"/>
    <w:rsid w:val="00CA7F3E"/>
    <w:rsid w:val="00CB14F6"/>
    <w:rsid w:val="00CB15FC"/>
    <w:rsid w:val="00CB1AD2"/>
    <w:rsid w:val="00CB1DE4"/>
    <w:rsid w:val="00CB23BF"/>
    <w:rsid w:val="00CB249A"/>
    <w:rsid w:val="00CB2C74"/>
    <w:rsid w:val="00CB311A"/>
    <w:rsid w:val="00CB3AD2"/>
    <w:rsid w:val="00CB4326"/>
    <w:rsid w:val="00CB614D"/>
    <w:rsid w:val="00CB6CA8"/>
    <w:rsid w:val="00CC1182"/>
    <w:rsid w:val="00CC1CED"/>
    <w:rsid w:val="00CC2344"/>
    <w:rsid w:val="00CC2433"/>
    <w:rsid w:val="00CC243B"/>
    <w:rsid w:val="00CC323F"/>
    <w:rsid w:val="00CC3EEB"/>
    <w:rsid w:val="00CC4773"/>
    <w:rsid w:val="00CC4A60"/>
    <w:rsid w:val="00CC4AC0"/>
    <w:rsid w:val="00CC5D02"/>
    <w:rsid w:val="00CC5EA3"/>
    <w:rsid w:val="00CC6AB4"/>
    <w:rsid w:val="00CD06FB"/>
    <w:rsid w:val="00CD0CA1"/>
    <w:rsid w:val="00CD1766"/>
    <w:rsid w:val="00CD231B"/>
    <w:rsid w:val="00CD2B48"/>
    <w:rsid w:val="00CD3B57"/>
    <w:rsid w:val="00CD460E"/>
    <w:rsid w:val="00CD4C19"/>
    <w:rsid w:val="00CD4E5B"/>
    <w:rsid w:val="00CD5740"/>
    <w:rsid w:val="00CD5BFB"/>
    <w:rsid w:val="00CD6F21"/>
    <w:rsid w:val="00CD734F"/>
    <w:rsid w:val="00CD761B"/>
    <w:rsid w:val="00CD786C"/>
    <w:rsid w:val="00CD7D38"/>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18C"/>
    <w:rsid w:val="00CF2715"/>
    <w:rsid w:val="00CF4409"/>
    <w:rsid w:val="00CF44F9"/>
    <w:rsid w:val="00CF46A3"/>
    <w:rsid w:val="00CF49B4"/>
    <w:rsid w:val="00CF4E6D"/>
    <w:rsid w:val="00CF5FEB"/>
    <w:rsid w:val="00CF6BDE"/>
    <w:rsid w:val="00CF76EE"/>
    <w:rsid w:val="00D00E10"/>
    <w:rsid w:val="00D016F5"/>
    <w:rsid w:val="00D01DEA"/>
    <w:rsid w:val="00D0239A"/>
    <w:rsid w:val="00D025AC"/>
    <w:rsid w:val="00D026FC"/>
    <w:rsid w:val="00D03C15"/>
    <w:rsid w:val="00D03F94"/>
    <w:rsid w:val="00D06468"/>
    <w:rsid w:val="00D06513"/>
    <w:rsid w:val="00D06CD6"/>
    <w:rsid w:val="00D10A46"/>
    <w:rsid w:val="00D1140E"/>
    <w:rsid w:val="00D126EC"/>
    <w:rsid w:val="00D13371"/>
    <w:rsid w:val="00D13FBA"/>
    <w:rsid w:val="00D14190"/>
    <w:rsid w:val="00D153E0"/>
    <w:rsid w:val="00D15538"/>
    <w:rsid w:val="00D1568A"/>
    <w:rsid w:val="00D16B34"/>
    <w:rsid w:val="00D1724B"/>
    <w:rsid w:val="00D175F6"/>
    <w:rsid w:val="00D17747"/>
    <w:rsid w:val="00D20D65"/>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0C5C"/>
    <w:rsid w:val="00D61786"/>
    <w:rsid w:val="00D639E4"/>
    <w:rsid w:val="00D63B44"/>
    <w:rsid w:val="00D63D2A"/>
    <w:rsid w:val="00D63E67"/>
    <w:rsid w:val="00D64202"/>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73B"/>
    <w:rsid w:val="00D828F4"/>
    <w:rsid w:val="00D82EA2"/>
    <w:rsid w:val="00D83478"/>
    <w:rsid w:val="00D842D4"/>
    <w:rsid w:val="00D84323"/>
    <w:rsid w:val="00D8503F"/>
    <w:rsid w:val="00D85547"/>
    <w:rsid w:val="00D85CD6"/>
    <w:rsid w:val="00D8631F"/>
    <w:rsid w:val="00D86495"/>
    <w:rsid w:val="00D87726"/>
    <w:rsid w:val="00D914C8"/>
    <w:rsid w:val="00D91FE3"/>
    <w:rsid w:val="00D962F0"/>
    <w:rsid w:val="00D96F9A"/>
    <w:rsid w:val="00D97731"/>
    <w:rsid w:val="00DA0372"/>
    <w:rsid w:val="00DA147A"/>
    <w:rsid w:val="00DA27A6"/>
    <w:rsid w:val="00DA4495"/>
    <w:rsid w:val="00DA4880"/>
    <w:rsid w:val="00DA4D9C"/>
    <w:rsid w:val="00DA584A"/>
    <w:rsid w:val="00DA5867"/>
    <w:rsid w:val="00DA6416"/>
    <w:rsid w:val="00DA6C43"/>
    <w:rsid w:val="00DA7C3B"/>
    <w:rsid w:val="00DB004E"/>
    <w:rsid w:val="00DB0295"/>
    <w:rsid w:val="00DB0BF5"/>
    <w:rsid w:val="00DB1159"/>
    <w:rsid w:val="00DB15B8"/>
    <w:rsid w:val="00DB25F9"/>
    <w:rsid w:val="00DB2638"/>
    <w:rsid w:val="00DB3BA7"/>
    <w:rsid w:val="00DB3E96"/>
    <w:rsid w:val="00DB408D"/>
    <w:rsid w:val="00DB410A"/>
    <w:rsid w:val="00DB4765"/>
    <w:rsid w:val="00DB47BB"/>
    <w:rsid w:val="00DB502F"/>
    <w:rsid w:val="00DB539B"/>
    <w:rsid w:val="00DB5425"/>
    <w:rsid w:val="00DB5D78"/>
    <w:rsid w:val="00DB64CF"/>
    <w:rsid w:val="00DB6774"/>
    <w:rsid w:val="00DB7082"/>
    <w:rsid w:val="00DC1326"/>
    <w:rsid w:val="00DC1A3A"/>
    <w:rsid w:val="00DC1E43"/>
    <w:rsid w:val="00DC20E5"/>
    <w:rsid w:val="00DC24CC"/>
    <w:rsid w:val="00DC295A"/>
    <w:rsid w:val="00DC2D47"/>
    <w:rsid w:val="00DC31D0"/>
    <w:rsid w:val="00DC3625"/>
    <w:rsid w:val="00DC41DD"/>
    <w:rsid w:val="00DC4385"/>
    <w:rsid w:val="00DC4DB7"/>
    <w:rsid w:val="00DC504A"/>
    <w:rsid w:val="00DC51D1"/>
    <w:rsid w:val="00DC551E"/>
    <w:rsid w:val="00DC6062"/>
    <w:rsid w:val="00DC68FD"/>
    <w:rsid w:val="00DC7A02"/>
    <w:rsid w:val="00DC7F93"/>
    <w:rsid w:val="00DD0A8F"/>
    <w:rsid w:val="00DD1089"/>
    <w:rsid w:val="00DD2313"/>
    <w:rsid w:val="00DD245E"/>
    <w:rsid w:val="00DD2A7B"/>
    <w:rsid w:val="00DD2E1F"/>
    <w:rsid w:val="00DD3B04"/>
    <w:rsid w:val="00DD41F8"/>
    <w:rsid w:val="00DD4AC7"/>
    <w:rsid w:val="00DD58E5"/>
    <w:rsid w:val="00DD59BD"/>
    <w:rsid w:val="00DD5D06"/>
    <w:rsid w:val="00DD5E30"/>
    <w:rsid w:val="00DD5FE9"/>
    <w:rsid w:val="00DE0A9A"/>
    <w:rsid w:val="00DE146F"/>
    <w:rsid w:val="00DE1566"/>
    <w:rsid w:val="00DE2401"/>
    <w:rsid w:val="00DE3534"/>
    <w:rsid w:val="00DE3E35"/>
    <w:rsid w:val="00DE4675"/>
    <w:rsid w:val="00DE47CD"/>
    <w:rsid w:val="00DE4A6A"/>
    <w:rsid w:val="00DE4D83"/>
    <w:rsid w:val="00DE4EB4"/>
    <w:rsid w:val="00DE56DE"/>
    <w:rsid w:val="00DE59E5"/>
    <w:rsid w:val="00DE656E"/>
    <w:rsid w:val="00DE6BE9"/>
    <w:rsid w:val="00DE6D17"/>
    <w:rsid w:val="00DE76FC"/>
    <w:rsid w:val="00DE7ADD"/>
    <w:rsid w:val="00DE7E6B"/>
    <w:rsid w:val="00DF0633"/>
    <w:rsid w:val="00DF0E52"/>
    <w:rsid w:val="00DF1F95"/>
    <w:rsid w:val="00DF23C5"/>
    <w:rsid w:val="00DF2807"/>
    <w:rsid w:val="00DF2859"/>
    <w:rsid w:val="00DF2BFC"/>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910"/>
    <w:rsid w:val="00E00DF4"/>
    <w:rsid w:val="00E012C6"/>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4279"/>
    <w:rsid w:val="00E15708"/>
    <w:rsid w:val="00E161E2"/>
    <w:rsid w:val="00E1768F"/>
    <w:rsid w:val="00E20CCD"/>
    <w:rsid w:val="00E21877"/>
    <w:rsid w:val="00E23048"/>
    <w:rsid w:val="00E23CCC"/>
    <w:rsid w:val="00E245D1"/>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816"/>
    <w:rsid w:val="00E4395F"/>
    <w:rsid w:val="00E44011"/>
    <w:rsid w:val="00E44810"/>
    <w:rsid w:val="00E44948"/>
    <w:rsid w:val="00E44BAC"/>
    <w:rsid w:val="00E44BD0"/>
    <w:rsid w:val="00E45451"/>
    <w:rsid w:val="00E45568"/>
    <w:rsid w:val="00E458DC"/>
    <w:rsid w:val="00E4757D"/>
    <w:rsid w:val="00E47FEC"/>
    <w:rsid w:val="00E50A92"/>
    <w:rsid w:val="00E50C7D"/>
    <w:rsid w:val="00E50DA5"/>
    <w:rsid w:val="00E510D3"/>
    <w:rsid w:val="00E52324"/>
    <w:rsid w:val="00E526BF"/>
    <w:rsid w:val="00E527F6"/>
    <w:rsid w:val="00E52A47"/>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437A"/>
    <w:rsid w:val="00E648B5"/>
    <w:rsid w:val="00E65B34"/>
    <w:rsid w:val="00E667D0"/>
    <w:rsid w:val="00E668C3"/>
    <w:rsid w:val="00E67106"/>
    <w:rsid w:val="00E6739C"/>
    <w:rsid w:val="00E70778"/>
    <w:rsid w:val="00E70B54"/>
    <w:rsid w:val="00E71412"/>
    <w:rsid w:val="00E718BC"/>
    <w:rsid w:val="00E71990"/>
    <w:rsid w:val="00E71C72"/>
    <w:rsid w:val="00E72221"/>
    <w:rsid w:val="00E722BE"/>
    <w:rsid w:val="00E7231A"/>
    <w:rsid w:val="00E723A9"/>
    <w:rsid w:val="00E72769"/>
    <w:rsid w:val="00E73E28"/>
    <w:rsid w:val="00E74223"/>
    <w:rsid w:val="00E74D3D"/>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6594"/>
    <w:rsid w:val="00E86D2B"/>
    <w:rsid w:val="00E876D4"/>
    <w:rsid w:val="00E87E1E"/>
    <w:rsid w:val="00E9026A"/>
    <w:rsid w:val="00E90442"/>
    <w:rsid w:val="00E9061D"/>
    <w:rsid w:val="00E90D62"/>
    <w:rsid w:val="00E90EB5"/>
    <w:rsid w:val="00E910E4"/>
    <w:rsid w:val="00E91B27"/>
    <w:rsid w:val="00E91F86"/>
    <w:rsid w:val="00E9228B"/>
    <w:rsid w:val="00E92A12"/>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6AA5"/>
    <w:rsid w:val="00EA7315"/>
    <w:rsid w:val="00EA7FA8"/>
    <w:rsid w:val="00EB0E7E"/>
    <w:rsid w:val="00EB2021"/>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7D4D"/>
    <w:rsid w:val="00EE7F93"/>
    <w:rsid w:val="00EF0084"/>
    <w:rsid w:val="00EF101A"/>
    <w:rsid w:val="00EF14FA"/>
    <w:rsid w:val="00EF1EF5"/>
    <w:rsid w:val="00EF2410"/>
    <w:rsid w:val="00EF3499"/>
    <w:rsid w:val="00EF47A8"/>
    <w:rsid w:val="00EF5F41"/>
    <w:rsid w:val="00EF6CC8"/>
    <w:rsid w:val="00EF78B2"/>
    <w:rsid w:val="00EF7E2B"/>
    <w:rsid w:val="00F00367"/>
    <w:rsid w:val="00F006CE"/>
    <w:rsid w:val="00F00DD2"/>
    <w:rsid w:val="00F01693"/>
    <w:rsid w:val="00F02841"/>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6F0"/>
    <w:rsid w:val="00F137F1"/>
    <w:rsid w:val="00F140B4"/>
    <w:rsid w:val="00F14607"/>
    <w:rsid w:val="00F14774"/>
    <w:rsid w:val="00F15777"/>
    <w:rsid w:val="00F1743F"/>
    <w:rsid w:val="00F176F9"/>
    <w:rsid w:val="00F17B25"/>
    <w:rsid w:val="00F17B57"/>
    <w:rsid w:val="00F203B7"/>
    <w:rsid w:val="00F209D1"/>
    <w:rsid w:val="00F21352"/>
    <w:rsid w:val="00F21A81"/>
    <w:rsid w:val="00F22DC7"/>
    <w:rsid w:val="00F22E10"/>
    <w:rsid w:val="00F230FB"/>
    <w:rsid w:val="00F240DA"/>
    <w:rsid w:val="00F24218"/>
    <w:rsid w:val="00F24D46"/>
    <w:rsid w:val="00F25150"/>
    <w:rsid w:val="00F261FE"/>
    <w:rsid w:val="00F265B5"/>
    <w:rsid w:val="00F2663B"/>
    <w:rsid w:val="00F266AB"/>
    <w:rsid w:val="00F268F0"/>
    <w:rsid w:val="00F26ABA"/>
    <w:rsid w:val="00F2783E"/>
    <w:rsid w:val="00F27B7E"/>
    <w:rsid w:val="00F30292"/>
    <w:rsid w:val="00F3061B"/>
    <w:rsid w:val="00F316A9"/>
    <w:rsid w:val="00F31BCE"/>
    <w:rsid w:val="00F32187"/>
    <w:rsid w:val="00F3341E"/>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2030"/>
    <w:rsid w:val="00F4233A"/>
    <w:rsid w:val="00F42A7B"/>
    <w:rsid w:val="00F42D25"/>
    <w:rsid w:val="00F433E2"/>
    <w:rsid w:val="00F43518"/>
    <w:rsid w:val="00F435C2"/>
    <w:rsid w:val="00F43CC0"/>
    <w:rsid w:val="00F4455A"/>
    <w:rsid w:val="00F44789"/>
    <w:rsid w:val="00F45049"/>
    <w:rsid w:val="00F45BFB"/>
    <w:rsid w:val="00F466D9"/>
    <w:rsid w:val="00F46E31"/>
    <w:rsid w:val="00F46EB6"/>
    <w:rsid w:val="00F477F5"/>
    <w:rsid w:val="00F47A0B"/>
    <w:rsid w:val="00F505D8"/>
    <w:rsid w:val="00F50BE2"/>
    <w:rsid w:val="00F50CC5"/>
    <w:rsid w:val="00F524B3"/>
    <w:rsid w:val="00F52B5A"/>
    <w:rsid w:val="00F53383"/>
    <w:rsid w:val="00F534CF"/>
    <w:rsid w:val="00F54504"/>
    <w:rsid w:val="00F54A9F"/>
    <w:rsid w:val="00F55B13"/>
    <w:rsid w:val="00F55FCE"/>
    <w:rsid w:val="00F56341"/>
    <w:rsid w:val="00F56740"/>
    <w:rsid w:val="00F56F37"/>
    <w:rsid w:val="00F60056"/>
    <w:rsid w:val="00F6032B"/>
    <w:rsid w:val="00F60D5F"/>
    <w:rsid w:val="00F611CA"/>
    <w:rsid w:val="00F61C3D"/>
    <w:rsid w:val="00F62AF1"/>
    <w:rsid w:val="00F62E2F"/>
    <w:rsid w:val="00F645ED"/>
    <w:rsid w:val="00F64F98"/>
    <w:rsid w:val="00F6536A"/>
    <w:rsid w:val="00F6565C"/>
    <w:rsid w:val="00F6591D"/>
    <w:rsid w:val="00F65AAF"/>
    <w:rsid w:val="00F65E86"/>
    <w:rsid w:val="00F66F97"/>
    <w:rsid w:val="00F70271"/>
    <w:rsid w:val="00F704C7"/>
    <w:rsid w:val="00F70CD0"/>
    <w:rsid w:val="00F711AC"/>
    <w:rsid w:val="00F71318"/>
    <w:rsid w:val="00F7190B"/>
    <w:rsid w:val="00F722FF"/>
    <w:rsid w:val="00F73AE9"/>
    <w:rsid w:val="00F73F5E"/>
    <w:rsid w:val="00F747FA"/>
    <w:rsid w:val="00F74F8F"/>
    <w:rsid w:val="00F750DC"/>
    <w:rsid w:val="00F75AB9"/>
    <w:rsid w:val="00F769C6"/>
    <w:rsid w:val="00F771AA"/>
    <w:rsid w:val="00F77C52"/>
    <w:rsid w:val="00F8025C"/>
    <w:rsid w:val="00F80C4F"/>
    <w:rsid w:val="00F81D86"/>
    <w:rsid w:val="00F827DD"/>
    <w:rsid w:val="00F82F6D"/>
    <w:rsid w:val="00F83370"/>
    <w:rsid w:val="00F83E52"/>
    <w:rsid w:val="00F83EC7"/>
    <w:rsid w:val="00F84048"/>
    <w:rsid w:val="00F844FB"/>
    <w:rsid w:val="00F852BE"/>
    <w:rsid w:val="00F85603"/>
    <w:rsid w:val="00F85ABB"/>
    <w:rsid w:val="00F85B23"/>
    <w:rsid w:val="00F85C40"/>
    <w:rsid w:val="00F85F8A"/>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D1"/>
    <w:rsid w:val="00F95706"/>
    <w:rsid w:val="00F95996"/>
    <w:rsid w:val="00F9638A"/>
    <w:rsid w:val="00F97B80"/>
    <w:rsid w:val="00F97D6D"/>
    <w:rsid w:val="00FA09FF"/>
    <w:rsid w:val="00FA0AB0"/>
    <w:rsid w:val="00FA0B18"/>
    <w:rsid w:val="00FA0E76"/>
    <w:rsid w:val="00FA1DED"/>
    <w:rsid w:val="00FA1EA7"/>
    <w:rsid w:val="00FA26AF"/>
    <w:rsid w:val="00FA28FC"/>
    <w:rsid w:val="00FA2B50"/>
    <w:rsid w:val="00FA338E"/>
    <w:rsid w:val="00FA37BB"/>
    <w:rsid w:val="00FA3863"/>
    <w:rsid w:val="00FA3CEF"/>
    <w:rsid w:val="00FA3D14"/>
    <w:rsid w:val="00FA4322"/>
    <w:rsid w:val="00FA4B4D"/>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332B"/>
    <w:rsid w:val="00FE39E7"/>
    <w:rsid w:val="00FE3ECC"/>
    <w:rsid w:val="00FE4C1C"/>
    <w:rsid w:val="00FE567F"/>
    <w:rsid w:val="00FE591A"/>
    <w:rsid w:val="00FE6058"/>
    <w:rsid w:val="00FE6A7B"/>
    <w:rsid w:val="00FE70C2"/>
    <w:rsid w:val="00FE71DC"/>
    <w:rsid w:val="00FF0ABC"/>
    <w:rsid w:val="00FF0B63"/>
    <w:rsid w:val="00FF3946"/>
    <w:rsid w:val="00FF44A7"/>
    <w:rsid w:val="00FF4725"/>
    <w:rsid w:val="00FF4E1F"/>
    <w:rsid w:val="00FF4EF6"/>
    <w:rsid w:val="00FF5E32"/>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semiHidden/>
    <w:unhideWhenUsed/>
    <w:rsid w:val="00CB311A"/>
    <w:rPr>
      <w:sz w:val="20"/>
      <w:szCs w:val="20"/>
    </w:rPr>
  </w:style>
  <w:style w:type="character" w:customStyle="1" w:styleId="CommentTextChar">
    <w:name w:val="Comment Text Char"/>
    <w:basedOn w:val="DefaultParagraphFont"/>
    <w:link w:val="CommentText"/>
    <w:uiPriority w:val="99"/>
    <w:semiHidden/>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0174">
      <w:bodyDiv w:val="1"/>
      <w:marLeft w:val="0"/>
      <w:marRight w:val="0"/>
      <w:marTop w:val="0"/>
      <w:marBottom w:val="0"/>
      <w:divBdr>
        <w:top w:val="none" w:sz="0" w:space="0" w:color="auto"/>
        <w:left w:val="none" w:sz="0" w:space="0" w:color="auto"/>
        <w:bottom w:val="none" w:sz="0" w:space="0" w:color="auto"/>
        <w:right w:val="none" w:sz="0" w:space="0" w:color="auto"/>
      </w:divBdr>
      <w:divsChild>
        <w:div w:id="577834620">
          <w:marLeft w:val="0"/>
          <w:marRight w:val="0"/>
          <w:marTop w:val="150"/>
          <w:marBottom w:val="150"/>
          <w:divBdr>
            <w:top w:val="none" w:sz="0" w:space="0" w:color="auto"/>
            <w:left w:val="none" w:sz="0" w:space="0" w:color="auto"/>
            <w:bottom w:val="none" w:sz="0" w:space="0" w:color="auto"/>
            <w:right w:val="none" w:sz="0" w:space="0" w:color="auto"/>
          </w:divBdr>
        </w:div>
        <w:div w:id="908463518">
          <w:marLeft w:val="0"/>
          <w:marRight w:val="0"/>
          <w:marTop w:val="150"/>
          <w:marBottom w:val="150"/>
          <w:divBdr>
            <w:top w:val="none" w:sz="0" w:space="0" w:color="auto"/>
            <w:left w:val="none" w:sz="0" w:space="0" w:color="auto"/>
            <w:bottom w:val="none" w:sz="0" w:space="0" w:color="auto"/>
            <w:right w:val="none" w:sz="0" w:space="0" w:color="auto"/>
          </w:divBdr>
        </w:div>
      </w:divsChild>
    </w:div>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412703176">
      <w:bodyDiv w:val="1"/>
      <w:marLeft w:val="0"/>
      <w:marRight w:val="0"/>
      <w:marTop w:val="0"/>
      <w:marBottom w:val="0"/>
      <w:divBdr>
        <w:top w:val="none" w:sz="0" w:space="0" w:color="auto"/>
        <w:left w:val="none" w:sz="0" w:space="0" w:color="auto"/>
        <w:bottom w:val="none" w:sz="0" w:space="0" w:color="auto"/>
        <w:right w:val="none" w:sz="0" w:space="0" w:color="auto"/>
      </w:divBdr>
      <w:divsChild>
        <w:div w:id="937446568">
          <w:marLeft w:val="0"/>
          <w:marRight w:val="0"/>
          <w:marTop w:val="150"/>
          <w:marBottom w:val="150"/>
          <w:divBdr>
            <w:top w:val="none" w:sz="0" w:space="0" w:color="auto"/>
            <w:left w:val="none" w:sz="0" w:space="0" w:color="auto"/>
            <w:bottom w:val="none" w:sz="0" w:space="0" w:color="auto"/>
            <w:right w:val="none" w:sz="0" w:space="0" w:color="auto"/>
          </w:divBdr>
        </w:div>
        <w:div w:id="1667510823">
          <w:marLeft w:val="0"/>
          <w:marRight w:val="0"/>
          <w:marTop w:val="150"/>
          <w:marBottom w:val="150"/>
          <w:divBdr>
            <w:top w:val="none" w:sz="0" w:space="0" w:color="auto"/>
            <w:left w:val="none" w:sz="0" w:space="0" w:color="auto"/>
            <w:bottom w:val="none" w:sz="0" w:space="0" w:color="auto"/>
            <w:right w:val="none" w:sz="0" w:space="0" w:color="auto"/>
          </w:divBdr>
        </w:div>
      </w:divsChild>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652564668">
      <w:bodyDiv w:val="1"/>
      <w:marLeft w:val="0"/>
      <w:marRight w:val="0"/>
      <w:marTop w:val="0"/>
      <w:marBottom w:val="0"/>
      <w:divBdr>
        <w:top w:val="none" w:sz="0" w:space="0" w:color="auto"/>
        <w:left w:val="none" w:sz="0" w:space="0" w:color="auto"/>
        <w:bottom w:val="none" w:sz="0" w:space="0" w:color="auto"/>
        <w:right w:val="none" w:sz="0" w:space="0" w:color="auto"/>
      </w:divBdr>
      <w:divsChild>
        <w:div w:id="448857242">
          <w:marLeft w:val="0"/>
          <w:marRight w:val="0"/>
          <w:marTop w:val="150"/>
          <w:marBottom w:val="150"/>
          <w:divBdr>
            <w:top w:val="none" w:sz="0" w:space="0" w:color="auto"/>
            <w:left w:val="none" w:sz="0" w:space="0" w:color="auto"/>
            <w:bottom w:val="none" w:sz="0" w:space="0" w:color="auto"/>
            <w:right w:val="none" w:sz="0" w:space="0" w:color="auto"/>
          </w:divBdr>
        </w:div>
        <w:div w:id="434323545">
          <w:marLeft w:val="0"/>
          <w:marRight w:val="0"/>
          <w:marTop w:val="150"/>
          <w:marBottom w:val="150"/>
          <w:divBdr>
            <w:top w:val="none" w:sz="0" w:space="0" w:color="auto"/>
            <w:left w:val="none" w:sz="0" w:space="0" w:color="auto"/>
            <w:bottom w:val="none" w:sz="0" w:space="0" w:color="auto"/>
            <w:right w:val="none" w:sz="0" w:space="0" w:color="auto"/>
          </w:divBdr>
        </w:div>
      </w:divsChild>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190232">
      <w:bodyDiv w:val="1"/>
      <w:marLeft w:val="0"/>
      <w:marRight w:val="0"/>
      <w:marTop w:val="0"/>
      <w:marBottom w:val="0"/>
      <w:divBdr>
        <w:top w:val="none" w:sz="0" w:space="0" w:color="auto"/>
        <w:left w:val="none" w:sz="0" w:space="0" w:color="auto"/>
        <w:bottom w:val="none" w:sz="0" w:space="0" w:color="auto"/>
        <w:right w:val="none" w:sz="0" w:space="0" w:color="auto"/>
      </w:divBdr>
      <w:divsChild>
        <w:div w:id="1848053708">
          <w:marLeft w:val="0"/>
          <w:marRight w:val="0"/>
          <w:marTop w:val="150"/>
          <w:marBottom w:val="150"/>
          <w:divBdr>
            <w:top w:val="none" w:sz="0" w:space="0" w:color="auto"/>
            <w:left w:val="none" w:sz="0" w:space="0" w:color="auto"/>
            <w:bottom w:val="none" w:sz="0" w:space="0" w:color="auto"/>
            <w:right w:val="none" w:sz="0" w:space="0" w:color="auto"/>
          </w:divBdr>
        </w:div>
        <w:div w:id="494612883">
          <w:marLeft w:val="0"/>
          <w:marRight w:val="0"/>
          <w:marTop w:val="150"/>
          <w:marBottom w:val="150"/>
          <w:divBdr>
            <w:top w:val="none" w:sz="0" w:space="0" w:color="auto"/>
            <w:left w:val="none" w:sz="0" w:space="0" w:color="auto"/>
            <w:bottom w:val="none" w:sz="0" w:space="0" w:color="auto"/>
            <w:right w:val="none" w:sz="0" w:space="0" w:color="auto"/>
          </w:divBdr>
        </w:div>
      </w:divsChild>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rt.deloitte.com/USDART/home/publications/deloitte/heads-up/2022/fasb-issues-asc-326-update" TargetMode="External"/><Relationship Id="rId18" Type="http://schemas.openxmlformats.org/officeDocument/2006/relationships/hyperlink" Target="https://dart.deloitte.com/USDART/home/codification/assets/32x/asc326-30-30" TargetMode="External"/><Relationship Id="rId26" Type="http://schemas.openxmlformats.org/officeDocument/2006/relationships/hyperlink" Target="https://dart.deloitte.com/USDART/home/codification/assets/32x/asc326-20-55" TargetMode="External"/><Relationship Id="rId39" Type="http://schemas.openxmlformats.org/officeDocument/2006/relationships/hyperlink" Target="https://dart.deloitte.com/USDART/home/codification/broad-transactions/asc842-50-50" TargetMode="External"/><Relationship Id="rId21" Type="http://schemas.openxmlformats.org/officeDocument/2006/relationships/hyperlink" Target="https://dart.deloitte.com/USDART/home/codification/broad-transactions/asc815-20-45" TargetMode="External"/><Relationship Id="rId34" Type="http://schemas.openxmlformats.org/officeDocument/2006/relationships/hyperlink" Target="https://dart.deloitte.com/USDART/home/codification/assets/asc310-10-50" TargetMode="External"/><Relationship Id="rId42" Type="http://schemas.openxmlformats.org/officeDocument/2006/relationships/hyperlink" Target="https://dart.deloitte.com/USDART/home/codification/assets/asc310-10-05" TargetMode="External"/><Relationship Id="rId47" Type="http://schemas.openxmlformats.org/officeDocument/2006/relationships/hyperlink" Target="https://dart.deloitte.com/USDART/home/codification/liabilities/asc470-60-05"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rt.deloitte.com/USDART/home/codification/assets/32x/asc320-10-35?nav=jtl" TargetMode="External"/><Relationship Id="rId29" Type="http://schemas.openxmlformats.org/officeDocument/2006/relationships/hyperlink" Target="https://dart.deloitte.com/USDART/home/codification/broad-transactions/asc815-25-55" TargetMode="External"/><Relationship Id="rId11" Type="http://schemas.openxmlformats.org/officeDocument/2006/relationships/hyperlink" Target="https://dart.deloitte.com/USDART/home/publications/deloitte/heads-up/2022/fasb-clarifies-hedge-guidance" TargetMode="External"/><Relationship Id="rId24" Type="http://schemas.openxmlformats.org/officeDocument/2006/relationships/hyperlink" Target="https://dart.deloitte.com/USDART/home/codification/broad-transactions/asc860-20-40" TargetMode="External"/><Relationship Id="rId32" Type="http://schemas.openxmlformats.org/officeDocument/2006/relationships/hyperlink" Target="https://dart.deloitte.com/USDART/home/codification/presentation/asc270-10-50" TargetMode="External"/><Relationship Id="rId37" Type="http://schemas.openxmlformats.org/officeDocument/2006/relationships/hyperlink" Target="https://dart.deloitte.com/USDART/home/codification/assets/32x/asc326-20-30" TargetMode="External"/><Relationship Id="rId40" Type="http://schemas.openxmlformats.org/officeDocument/2006/relationships/hyperlink" Target="https://dart.deloitte.com/USDART/home/codification/industry/9xx/asc942-310-30" TargetMode="External"/><Relationship Id="rId45" Type="http://schemas.openxmlformats.org/officeDocument/2006/relationships/hyperlink" Target="https://dart.deloitte.com/USDART/home/codification/assets/32x/asc326-10-65"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checklist.disclosureanalytics.deloitte.com/helpDocs/quickrefguide" TargetMode="External"/><Relationship Id="rId19" Type="http://schemas.openxmlformats.org/officeDocument/2006/relationships/hyperlink" Target="https://dart.deloitte.com/USDART/home/codification/broad-transactions/asc815-10-50" TargetMode="External"/><Relationship Id="rId31" Type="http://schemas.openxmlformats.org/officeDocument/2006/relationships/hyperlink" Target="https://techlib.deloitteresources.com/?link=content/2_620428" TargetMode="External"/><Relationship Id="rId44" Type="http://schemas.openxmlformats.org/officeDocument/2006/relationships/hyperlink" Target="https://dart.deloitte.com/USDART/home/codification/assets/32x/asc320-10-55?nav=jt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hlib.deloitteresources.com/?link=content/2_620390" TargetMode="External"/><Relationship Id="rId22" Type="http://schemas.openxmlformats.org/officeDocument/2006/relationships/hyperlink" Target="https://dart.deloitte.com/USDART/home/codification/broad-transactions/asc815-25-35" TargetMode="External"/><Relationship Id="rId27" Type="http://schemas.openxmlformats.org/officeDocument/2006/relationships/hyperlink" Target="https://dart.deloitte.com/USDART/home/codification/broad-transactions/asc815-10-55" TargetMode="External"/><Relationship Id="rId30" Type="http://schemas.openxmlformats.org/officeDocument/2006/relationships/hyperlink" Target="https://dart.deloitte.com/USDART/home/codification/broad-transactions/asc815-20-65" TargetMode="External"/><Relationship Id="rId35" Type="http://schemas.openxmlformats.org/officeDocument/2006/relationships/hyperlink" Target="https://dart.deloitte.com/USDART/home/codification/assets/asc310-20-35?nav=jtl" TargetMode="External"/><Relationship Id="rId43" Type="http://schemas.openxmlformats.org/officeDocument/2006/relationships/hyperlink" Target="https://dart.deloitte.com/USDART/home/codification/assets/asc310-10-55" TargetMode="External"/><Relationship Id="rId48" Type="http://schemas.openxmlformats.org/officeDocument/2006/relationships/hyperlink" Target="http://www.deloitte.com/about"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techlib.deloitteresources.com/?link=content/2_620428" TargetMode="External"/><Relationship Id="rId17" Type="http://schemas.openxmlformats.org/officeDocument/2006/relationships/hyperlink" Target="https://dart.deloitte.com/USDART/home/codification/assets/32x/asc326-20-30?nav=jtl" TargetMode="External"/><Relationship Id="rId25" Type="http://schemas.openxmlformats.org/officeDocument/2006/relationships/hyperlink" Target="https://dart.deloitte.com/USDART/home/codification/industry/9xx/asc948-310-35" TargetMode="External"/><Relationship Id="rId33" Type="http://schemas.openxmlformats.org/officeDocument/2006/relationships/hyperlink" Target="https://dart.deloitte.com/USDART/home/codification/assets/asc310-10-40" TargetMode="External"/><Relationship Id="rId38" Type="http://schemas.openxmlformats.org/officeDocument/2006/relationships/hyperlink" Target="https://dart.deloitte.com/USDART/home/codification/assets/asc360-10-35" TargetMode="External"/><Relationship Id="rId46" Type="http://schemas.openxmlformats.org/officeDocument/2006/relationships/hyperlink" Target="https://dart.deloitte.com/USDART/home/codification/assets/32x/asc326-20-55" TargetMode="External"/><Relationship Id="rId20" Type="http://schemas.openxmlformats.org/officeDocument/2006/relationships/hyperlink" Target="https://dart.deloitte.com/USDART/home/codification/broad-transactions/asc815-20-25" TargetMode="External"/><Relationship Id="rId41" Type="http://schemas.openxmlformats.org/officeDocument/2006/relationships/hyperlink" Target="https://dart.deloitte.com/USDART/home/codification/industry/97x/asc978-310-35"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rt.deloitte.com/USDART/home/codification/assets/asc310-10-35" TargetMode="External"/><Relationship Id="rId23" Type="http://schemas.openxmlformats.org/officeDocument/2006/relationships/hyperlink" Target="https://dart.deloitte.com/USDART/home/codification/broad-transactions/asc815-25-40" TargetMode="External"/><Relationship Id="rId28" Type="http://schemas.openxmlformats.org/officeDocument/2006/relationships/hyperlink" Target="https://dart.deloitte.com/USDART/home/codification/broad-transactions/asc815-20-55" TargetMode="External"/><Relationship Id="rId36" Type="http://schemas.openxmlformats.org/officeDocument/2006/relationships/hyperlink" Target="https://dart.deloitte.com/USDART/home/codification/assets/asc310-20-40" TargetMode="External"/><Relationship Id="rId49" Type="http://schemas.openxmlformats.org/officeDocument/2006/relationships/header" Target="header1.xm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description>
  <cp:lastModifiedBy>Todaro, Tammy</cp:lastModifiedBy>
  <cp:revision>4</cp:revision>
  <cp:lastPrinted>2018-03-28T18:21:00Z</cp:lastPrinted>
  <dcterms:created xsi:type="dcterms:W3CDTF">2022-04-06T13:55:00Z</dcterms:created>
  <dcterms:modified xsi:type="dcterms:W3CDTF">2022-04-07T15:27:00Z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2021-12-16T13:12:29Z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54ad4e5c-e6e2-4aca-aa8c-4b65c66ded3d</vt:lpwstr>
  </property>
  <property fmtid="{D5CDD505-2E9C-101B-9397-08002B2CF9AE}" pid="8" name="MSIP_Label_ea60d57e-af5b-4752-ac57-3e4f28ca11dc_ContentBits">
    <vt:lpwstr>0</vt:lpwstr>
  </property>
</Properties>
</file>