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7E4C29" w:rsidRDefault="007474EF" w:rsidP="007474EF">
      <w:pPr>
        <w:pStyle w:val="PGADateSubtitle"/>
        <w:spacing w:before="24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7FA86687">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2D3235FA"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w:t>
      </w:r>
      <w:bookmarkStart w:id="0" w:name="_Hlk147404646"/>
      <w:r w:rsidRPr="00493116">
        <w:rPr>
          <w:rFonts w:ascii="Calibri Light" w:hAnsi="Calibri Light" w:cs="Calibri Light"/>
          <w:sz w:val="56"/>
          <w:szCs w:val="48"/>
        </w:rPr>
        <w:t>—</w:t>
      </w:r>
      <w:bookmarkEnd w:id="0"/>
      <w:r w:rsidRPr="00493116">
        <w:rPr>
          <w:rFonts w:ascii="Calibri Light" w:hAnsi="Calibri Light" w:cs="Calibri Light"/>
          <w:sz w:val="56"/>
          <w:szCs w:val="48"/>
        </w:rPr>
        <w:t xml:space="preserve"> </w:t>
      </w:r>
      <w:r w:rsidRPr="00493116">
        <w:rPr>
          <w:rFonts w:ascii="Calibri Light" w:hAnsi="Calibri Light" w:cs="Calibri Light"/>
          <w:sz w:val="56"/>
          <w:szCs w:val="48"/>
        </w:rPr>
        <w:br/>
        <w:t xml:space="preserve">Quarterly Update: </w:t>
      </w:r>
      <w:r w:rsidR="00D83C77">
        <w:rPr>
          <w:rFonts w:ascii="Calibri Light" w:hAnsi="Calibri Light" w:cs="Calibri Light"/>
          <w:sz w:val="56"/>
          <w:szCs w:val="48"/>
        </w:rPr>
        <w:t>First</w:t>
      </w:r>
      <w:r w:rsidR="002F7186">
        <w:rPr>
          <w:rFonts w:ascii="Calibri Light" w:hAnsi="Calibri Light" w:cs="Calibri Light"/>
          <w:sz w:val="56"/>
          <w:szCs w:val="48"/>
        </w:rPr>
        <w:t xml:space="preserve"> </w:t>
      </w:r>
      <w:r w:rsidRPr="00493116">
        <w:rPr>
          <w:rFonts w:ascii="Calibri Light" w:hAnsi="Calibri Light" w:cs="Calibri Light"/>
          <w:sz w:val="56"/>
          <w:szCs w:val="48"/>
        </w:rPr>
        <w:t>Quarter</w:t>
      </w:r>
    </w:p>
    <w:p w14:paraId="06B2192B" w14:textId="7344C7F2" w:rsidR="00493116" w:rsidRPr="00493116" w:rsidRDefault="00D83C77" w:rsidP="00493116">
      <w:pPr>
        <w:pStyle w:val="PGADateSubtitle"/>
        <w:spacing w:before="360"/>
        <w:rPr>
          <w:rFonts w:ascii="Calibri Light" w:hAnsi="Calibri Light" w:cs="Calibri Light"/>
          <w:szCs w:val="32"/>
        </w:rPr>
      </w:pPr>
      <w:r>
        <w:rPr>
          <w:rFonts w:ascii="Calibri Light" w:hAnsi="Calibri Light" w:cs="Calibri Light"/>
          <w:szCs w:val="32"/>
        </w:rPr>
        <w:t>April</w:t>
      </w:r>
      <w:r w:rsidR="002F7186" w:rsidRPr="00493116">
        <w:rPr>
          <w:rFonts w:ascii="Calibri Light" w:hAnsi="Calibri Light" w:cs="Calibri Light"/>
          <w:szCs w:val="32"/>
        </w:rPr>
        <w:t xml:space="preserve"> </w:t>
      </w:r>
      <w:r w:rsidR="006F5277" w:rsidRPr="00493116">
        <w:rPr>
          <w:rFonts w:ascii="Calibri Light" w:hAnsi="Calibri Light" w:cs="Calibri Light"/>
          <w:szCs w:val="32"/>
        </w:rPr>
        <w:t>202</w:t>
      </w:r>
      <w:r w:rsidR="002F7186">
        <w:rPr>
          <w:rFonts w:ascii="Calibri Light" w:hAnsi="Calibri Light" w:cs="Calibri Light"/>
          <w:szCs w:val="32"/>
        </w:rPr>
        <w:t>5</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4905F150"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D83C77">
        <w:rPr>
          <w:rFonts w:ascii="Calibri Light" w:eastAsiaTheme="minorHAnsi" w:hAnsi="Calibri Light" w:cs="Calibri Light"/>
        </w:rPr>
        <w:t>January</w:t>
      </w:r>
      <w:r w:rsidR="002F7186">
        <w:rPr>
          <w:rFonts w:ascii="Calibri Light" w:eastAsiaTheme="minorHAnsi" w:hAnsi="Calibri Light" w:cs="Calibri Light"/>
        </w:rPr>
        <w:t xml:space="preserve"> </w:t>
      </w:r>
      <w:r w:rsidR="00AF3E74">
        <w:rPr>
          <w:rFonts w:ascii="Calibri Light" w:eastAsiaTheme="minorHAnsi" w:hAnsi="Calibri Light" w:cs="Calibri Light"/>
        </w:rPr>
        <w:t>1</w:t>
      </w:r>
      <w:r w:rsidR="006F5277" w:rsidRPr="006F5277">
        <w:rPr>
          <w:rFonts w:ascii="Calibri Light" w:eastAsiaTheme="minorHAnsi" w:hAnsi="Calibri Light" w:cs="Calibri Light"/>
        </w:rPr>
        <w:t>, 202</w:t>
      </w:r>
      <w:r w:rsidR="00D83C77">
        <w:rPr>
          <w:rFonts w:ascii="Calibri Light" w:eastAsiaTheme="minorHAnsi" w:hAnsi="Calibri Light" w:cs="Calibri Light"/>
        </w:rPr>
        <w:t>5</w:t>
      </w:r>
      <w:r w:rsidR="006F5277" w:rsidRPr="006F5277">
        <w:rPr>
          <w:rFonts w:ascii="Calibri Light" w:eastAsiaTheme="minorHAnsi" w:hAnsi="Calibri Light" w:cs="Calibri Light"/>
        </w:rPr>
        <w:t xml:space="preserve">, through </w:t>
      </w:r>
      <w:r w:rsidR="00D83C77">
        <w:rPr>
          <w:rFonts w:ascii="Calibri Light" w:eastAsiaTheme="minorHAnsi" w:hAnsi="Calibri Light" w:cs="Calibri Light"/>
        </w:rPr>
        <w:t>March</w:t>
      </w:r>
      <w:r w:rsidR="002F7186">
        <w:rPr>
          <w:rFonts w:ascii="Calibri Light" w:eastAsiaTheme="minorHAnsi" w:hAnsi="Calibri Light" w:cs="Calibri Light"/>
        </w:rPr>
        <w:t xml:space="preserve"> </w:t>
      </w:r>
      <w:r w:rsidR="001A5B7A">
        <w:rPr>
          <w:rFonts w:ascii="Calibri Light" w:eastAsiaTheme="minorHAnsi" w:hAnsi="Calibri Light" w:cs="Calibri Light"/>
        </w:rPr>
        <w:t>31</w:t>
      </w:r>
      <w:r w:rsidR="006F5277" w:rsidRPr="006F5277">
        <w:rPr>
          <w:rFonts w:ascii="Calibri Light" w:eastAsiaTheme="minorHAnsi" w:hAnsi="Calibri Light" w:cs="Calibri Light"/>
        </w:rPr>
        <w:t>, 202</w:t>
      </w:r>
      <w:r w:rsidR="00D83C77">
        <w:rPr>
          <w:rFonts w:ascii="Calibri Light" w:eastAsiaTheme="minorHAnsi" w:hAnsi="Calibri Light" w:cs="Calibri Light"/>
        </w:rPr>
        <w:t>5</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1" w:name="_Hlt407617848"/>
      <w:bookmarkStart w:id="2" w:name="_Hlt407617849"/>
      <w:bookmarkStart w:id="3" w:name="_Hlt399854332"/>
      <w:r w:rsidRPr="00F176F9">
        <w:rPr>
          <w:rFonts w:ascii="Calibri Light" w:hAnsi="Calibri Light" w:cs="Calibri Light"/>
          <w:b/>
          <w:bCs w:val="0"/>
          <w:i w:val="0"/>
          <w:color w:val="auto"/>
        </w:rPr>
        <w:t>U</w:t>
      </w:r>
      <w:bookmarkEnd w:id="1"/>
      <w:bookmarkEnd w:id="2"/>
      <w:bookmarkEnd w:id="3"/>
      <w:r w:rsidRPr="00F176F9">
        <w:rPr>
          <w:rFonts w:ascii="Calibri Light" w:hAnsi="Calibri Light" w:cs="Calibri Light"/>
          <w:b/>
          <w:bCs w:val="0"/>
          <w:i w:val="0"/>
          <w:color w:val="auto"/>
        </w:rPr>
        <w:t>PDATING THE U.S. GAAP CHECKLIST</w:t>
      </w:r>
    </w:p>
    <w:p w14:paraId="18DB41B8" w14:textId="4B2F9E4D"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0756806D" w:rsidR="005C729F"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00CC2294">
        <w:rPr>
          <w:rStyle w:val="documentlip1"/>
          <w:rFonts w:ascii="Calibri Light" w:hAnsi="Calibri Light" w:cs="Calibri Light"/>
        </w:rPr>
        <w:t xml:space="preserve">include within its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FA5194">
        <w:rPr>
          <w:rStyle w:val="documentlip1"/>
          <w:rFonts w:ascii="Calibri Light" w:hAnsi="Calibri Light" w:cs="Calibri Light"/>
        </w:rPr>
        <w:t>may not</w:t>
      </w:r>
      <w:r w:rsidRPr="00493116">
        <w:rPr>
          <w:rStyle w:val="documentlip1"/>
          <w:rFonts w:ascii="Calibri Light" w:hAnsi="Calibri Light" w:cs="Calibri Light"/>
        </w:rPr>
        <w:t xml:space="preserve">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in the Codification</w:t>
      </w:r>
      <w:r w:rsidR="00FA5194">
        <w:rPr>
          <w:rStyle w:val="documentlip1"/>
          <w:rFonts w:ascii="Calibri Light" w:hAnsi="Calibri Light" w:cs="Calibri Light"/>
        </w:rPr>
        <w:t xml:space="preserve"> due to maintenance within the GAAP Checklist tool</w:t>
      </w:r>
      <w:r w:rsidRPr="00493116">
        <w:rPr>
          <w:rStyle w:val="documentlip1"/>
          <w:rFonts w:ascii="Calibri Light" w:hAnsi="Calibri Light" w:cs="Calibri Light"/>
        </w:rPr>
        <w:t xml:space="preserve">. </w:t>
      </w:r>
      <w:r w:rsidR="00FA5194">
        <w:rPr>
          <w:rStyle w:val="documentlip1"/>
          <w:rFonts w:ascii="Calibri Light" w:hAnsi="Calibri Light" w:cs="Calibri Light"/>
        </w:rPr>
        <w:t>However, t</w:t>
      </w:r>
      <w:r w:rsidRPr="00493116">
        <w:rPr>
          <w:rStyle w:val="documentlip1"/>
          <w:rFonts w:ascii="Calibri Light" w:hAnsi="Calibri Light" w:cs="Calibri Light"/>
        </w:rPr>
        <w:t xml:space="preserve">ransition guidance </w:t>
      </w:r>
      <w:r w:rsidR="00FA5194">
        <w:rPr>
          <w:rStyle w:val="documentlip1"/>
          <w:rFonts w:ascii="Calibri Light" w:hAnsi="Calibri Light" w:cs="Calibri Light"/>
        </w:rPr>
        <w:t>would be</w:t>
      </w:r>
      <w:r w:rsidR="00FA5194" w:rsidRPr="00493116">
        <w:rPr>
          <w:rStyle w:val="documentlip1"/>
          <w:rFonts w:ascii="Calibri Light" w:hAnsi="Calibri Light" w:cs="Calibri Light"/>
        </w:rPr>
        <w:t xml:space="preserve"> </w:t>
      </w:r>
      <w:r w:rsidRPr="00493116">
        <w:rPr>
          <w:rStyle w:val="documentlip1"/>
          <w:rFonts w:ascii="Calibri Light" w:hAnsi="Calibri Light" w:cs="Calibri Light"/>
        </w:rPr>
        <w:t xml:space="preserve">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FA5194">
        <w:rPr>
          <w:rStyle w:val="documentlip1"/>
          <w:rFonts w:ascii="Calibri Light" w:hAnsi="Calibri Light" w:cs="Calibri Light"/>
        </w:rPr>
        <w:t xml:space="preserve"> and is available in Section 65 of each respective ASC Topic</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CC2294">
        <w:rPr>
          <w:rStyle w:val="documentlip1"/>
          <w:rFonts w:ascii="Calibri Light" w:hAnsi="Calibri Light" w:cs="Calibri Light"/>
        </w:rPr>
        <w:t>whether</w:t>
      </w:r>
      <w:r w:rsidR="00CC2294" w:rsidRPr="00493116">
        <w:rPr>
          <w:rStyle w:val="documentlip1"/>
          <w:rFonts w:ascii="Calibri Light" w:hAnsi="Calibri Light" w:cs="Calibri Light"/>
        </w:rPr>
        <w:t xml:space="preserve">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0C33CF43"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w:t>
      </w:r>
      <w:r w:rsidR="00CC2294">
        <w:rPr>
          <w:rStyle w:val="pdocumentul1"/>
          <w:rFonts w:ascii="Calibri Light" w:hAnsi="Calibri Light" w:cs="Calibri Light"/>
        </w:rPr>
        <w:t xml:space="preserve"> included within the</w:t>
      </w:r>
      <w:r w:rsidRPr="00493116">
        <w:rPr>
          <w:rStyle w:val="pdocumentul1"/>
          <w:rFonts w:ascii="Calibri Light" w:hAnsi="Calibri Light" w:cs="Calibri Light"/>
        </w:rPr>
        <w:t xml:space="preserve"> scope</w:t>
      </w:r>
      <w:r w:rsidR="00CC2294">
        <w:rPr>
          <w:rStyle w:val="pdocumentul1"/>
          <w:rFonts w:ascii="Calibri Light" w:hAnsi="Calibri Light" w:cs="Calibri Light"/>
        </w:rPr>
        <w:t xml:space="preserve"> of</w:t>
      </w:r>
      <w:r w:rsidRPr="00493116">
        <w:rPr>
          <w:rStyle w:val="pdocumentul1"/>
          <w:rFonts w:ascii="Calibri Light" w:hAnsi="Calibri Light" w:cs="Calibri Light"/>
        </w:rPr>
        <w:t xml:space="preserve">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7BA6DC41" w14:textId="3BF4B9E7"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A56C53">
          <w:rPr>
            <w:rStyle w:val="Hyperlink"/>
            <w:rFonts w:ascii="Calibri Light" w:eastAsia="Verdana" w:hAnsi="Calibri Light" w:cs="Calibri Light"/>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0DDF4C02" w14:textId="31D51B0B" w:rsidR="00FA5194" w:rsidRPr="005D3B47" w:rsidRDefault="00FA5194" w:rsidP="00C72910">
      <w:pPr>
        <w:rPr>
          <w:rStyle w:val="documentlip1"/>
          <w:rFonts w:ascii="Calibri Light" w:hAnsi="Calibri Light" w:cs="Calibri Light"/>
          <w:color w:val="auto"/>
          <w:szCs w:val="22"/>
        </w:rPr>
      </w:pPr>
      <w:r w:rsidRPr="00097B30">
        <w:rPr>
          <w:rFonts w:ascii="Calibri Light" w:eastAsiaTheme="minorHAnsi" w:hAnsi="Calibri Light" w:cs="Calibri Light"/>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493116">
        <w:rPr>
          <w:rFonts w:ascii="Calibri Light" w:hAnsi="Calibri Light" w:cs="Calibri Light"/>
        </w:rPr>
        <w:t xml:space="preserve"> the amended </w:t>
      </w:r>
      <w:r>
        <w:rPr>
          <w:rFonts w:ascii="Calibri Light" w:hAnsi="Calibri Light" w:cs="Calibri Light"/>
        </w:rPr>
        <w:t>s</w:t>
      </w:r>
      <w:r w:rsidRPr="00493116">
        <w:rPr>
          <w:rFonts w:ascii="Calibri Light" w:hAnsi="Calibri Light" w:cs="Calibri Light"/>
        </w:rPr>
        <w:t xml:space="preserve">ubtopic using the </w:t>
      </w:r>
      <w:r w:rsidRPr="00FA5E75">
        <w:rPr>
          <w:rFonts w:ascii="Calibri Light" w:hAnsi="Calibri Light" w:cs="Calibri Light"/>
        </w:rPr>
        <w:t>pending content for each paragraph that has been adopted.</w:t>
      </w:r>
      <w:r>
        <w:rPr>
          <w:rFonts w:ascii="Calibri Light" w:hAnsi="Calibri Light" w:cs="Calibri Light"/>
        </w:rPr>
        <w:t xml:space="preserve"> Pending content related to the ASUs issued this quarter, however, is not included in the checklist. When this is resolved, a message will be displayed on opening the GAAP Checklist application.</w:t>
      </w:r>
    </w:p>
    <w:p w14:paraId="69F5E6F3" w14:textId="3A1944A0" w:rsidR="00021275" w:rsidRDefault="009C1C36" w:rsidP="00C72910">
      <w:pPr>
        <w:rPr>
          <w:rStyle w:val="documentlip1"/>
          <w:rFonts w:ascii="Calibri Light" w:hAnsi="Calibri Light" w:cs="Calibri Light"/>
          <w:szCs w:val="22"/>
        </w:rPr>
      </w:pPr>
      <w:r>
        <w:rPr>
          <w:rStyle w:val="documentlip1"/>
          <w:rFonts w:ascii="Calibri Light" w:hAnsi="Calibri Light" w:cs="Calibri Light"/>
          <w:szCs w:val="22"/>
        </w:rPr>
        <w:lastRenderedPageBreak/>
        <w:t>Two</w:t>
      </w:r>
      <w:r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Pr>
          <w:rStyle w:val="documentlip1"/>
          <w:rFonts w:ascii="Calibri Light" w:hAnsi="Calibri Light" w:cs="Calibri Light"/>
          <w:szCs w:val="22"/>
        </w:rPr>
        <w:t>s</w:t>
      </w:r>
      <w:r w:rsidR="00AF3E74">
        <w:rPr>
          <w:rStyle w:val="documentlip1"/>
          <w:rFonts w:ascii="Calibri Light" w:hAnsi="Calibri Light" w:cs="Calibri Light"/>
          <w:szCs w:val="22"/>
        </w:rPr>
        <w:t xml:space="preserve"> </w:t>
      </w:r>
      <w:r w:rsidR="006761CE">
        <w:rPr>
          <w:rStyle w:val="documentlip1"/>
          <w:rFonts w:ascii="Calibri Light" w:hAnsi="Calibri Light" w:cs="Calibri Light"/>
          <w:szCs w:val="22"/>
        </w:rPr>
        <w:t>were</w:t>
      </w:r>
      <w:r w:rsidR="006761CE"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issued by the FASB</w:t>
      </w:r>
      <w:r w:rsidR="00167383"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00167383"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D83C77">
        <w:rPr>
          <w:rStyle w:val="documentlip1"/>
          <w:rFonts w:ascii="Calibri Light" w:hAnsi="Calibri Light" w:cs="Calibri Light"/>
          <w:szCs w:val="22"/>
        </w:rPr>
        <w:t>March</w:t>
      </w:r>
      <w:r w:rsidR="00FB4B47">
        <w:rPr>
          <w:rStyle w:val="documentlip1"/>
          <w:rFonts w:ascii="Calibri Light" w:hAnsi="Calibri Light" w:cs="Calibri Light"/>
          <w:szCs w:val="22"/>
        </w:rPr>
        <w:t xml:space="preserve"> </w:t>
      </w:r>
      <w:r w:rsidR="0090020B">
        <w:rPr>
          <w:rStyle w:val="documentlip1"/>
          <w:rFonts w:ascii="Calibri Light" w:hAnsi="Calibri Light" w:cs="Calibri Light"/>
          <w:szCs w:val="22"/>
        </w:rPr>
        <w:t>31</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t>202</w:t>
      </w:r>
      <w:r w:rsidR="00D83C77">
        <w:rPr>
          <w:rStyle w:val="documentlip1"/>
          <w:rFonts w:ascii="Calibri Light" w:hAnsi="Calibri Light" w:cs="Calibri Light"/>
          <w:szCs w:val="22"/>
        </w:rPr>
        <w:t>5</w:t>
      </w:r>
      <w:r w:rsidR="00BE0A54" w:rsidRPr="00493116">
        <w:rPr>
          <w:rStyle w:val="documentlip1"/>
          <w:rFonts w:ascii="Calibri Light" w:hAnsi="Calibri Light" w:cs="Calibri Light"/>
          <w:szCs w:val="22"/>
        </w:rPr>
        <w:t>:</w:t>
      </w:r>
    </w:p>
    <w:p w14:paraId="4EB7DD23" w14:textId="67891B11" w:rsidR="00AF3E74" w:rsidRDefault="001B5463" w:rsidP="00AF3E74">
      <w:pPr>
        <w:pStyle w:val="PABulletLink75IND"/>
        <w:numPr>
          <w:ilvl w:val="0"/>
          <w:numId w:val="18"/>
        </w:numPr>
        <w:spacing w:before="0" w:after="240"/>
        <w:ind w:left="360"/>
        <w:rPr>
          <w:rStyle w:val="Hyperlink"/>
          <w:rFonts w:ascii="Calibri Light" w:hAnsi="Calibri Light" w:cs="Calibri Light"/>
          <w:b/>
          <w:iCs/>
        </w:rPr>
      </w:pPr>
      <w:hyperlink r:id="rId11" w:history="1">
        <w:r w:rsidR="00F96E49">
          <w:rPr>
            <w:rStyle w:val="Hyperlink"/>
            <w:rFonts w:ascii="Calibri Light" w:hAnsi="Calibri Light" w:cs="Calibri Light"/>
            <w:b/>
            <w:iCs/>
          </w:rPr>
          <w:t>2025-01 – Income Statement—Reporting Comprehensive Income—Expense Disaggregation Disclosures (Subtopic 220-40): Clarifying the Effective Date</w:t>
        </w:r>
      </w:hyperlink>
      <w:r w:rsidR="0089568A">
        <w:rPr>
          <w:rStyle w:val="Hyperlink"/>
          <w:rFonts w:ascii="Calibri Light" w:hAnsi="Calibri Light" w:cs="Calibri Light"/>
          <w:b/>
          <w:iCs/>
        </w:rPr>
        <w:t xml:space="preserve"> </w:t>
      </w:r>
    </w:p>
    <w:p w14:paraId="6167C8F9" w14:textId="661315EF" w:rsidR="00D83C77" w:rsidRDefault="00D83C77" w:rsidP="00AF3E74">
      <w:pPr>
        <w:pStyle w:val="PABulletLink75IND"/>
        <w:numPr>
          <w:ilvl w:val="0"/>
          <w:numId w:val="0"/>
        </w:numPr>
        <w:spacing w:before="0" w:after="240"/>
        <w:rPr>
          <w:rStyle w:val="documentlip1"/>
          <w:rFonts w:ascii="Calibri Light" w:hAnsi="Calibri Light" w:cs="Calibri Light"/>
          <w:szCs w:val="22"/>
        </w:rPr>
      </w:pPr>
      <w:r w:rsidRPr="00D83C77">
        <w:rPr>
          <w:rFonts w:ascii="Calibri Light" w:hAnsi="Calibri Light" w:cs="Calibri Light"/>
          <w:color w:val="000000" w:themeColor="text1"/>
          <w:szCs w:val="22"/>
          <w:lang w:val="en-US"/>
        </w:rPr>
        <w:t xml:space="preserve">Following the issuance of </w:t>
      </w:r>
      <w:hyperlink r:id="rId12" w:history="1">
        <w:r w:rsidR="00BC6242" w:rsidRPr="00D944B5">
          <w:rPr>
            <w:rStyle w:val="Hyperlink"/>
            <w:rFonts w:ascii="Calibri Light" w:hAnsi="Calibri Light" w:cs="Calibri Light"/>
            <w:szCs w:val="22"/>
            <w:lang w:val="en-US"/>
          </w:rPr>
          <w:t>Accounting Standards Update No. 2024-03—Income Statement—Reporting Comprehensive Income—Expense Disaggregation Disclosures (Subtopic 220-40): Disaggregation of Income Statement Expenses (“</w:t>
        </w:r>
        <w:r w:rsidRPr="00D944B5">
          <w:rPr>
            <w:rStyle w:val="Hyperlink"/>
            <w:rFonts w:ascii="Calibri Light" w:hAnsi="Calibri Light" w:cs="Calibri Light"/>
            <w:szCs w:val="22"/>
          </w:rPr>
          <w:t>ASU 2024-03</w:t>
        </w:r>
        <w:r w:rsidR="00BC6242" w:rsidRPr="00D944B5">
          <w:rPr>
            <w:rStyle w:val="Hyperlink"/>
            <w:rFonts w:ascii="Calibri Light" w:hAnsi="Calibri Light" w:cs="Calibri Light"/>
            <w:szCs w:val="22"/>
          </w:rPr>
          <w:t>”)</w:t>
        </w:r>
      </w:hyperlink>
      <w:r w:rsidRPr="00D83C77">
        <w:rPr>
          <w:rFonts w:ascii="Calibri Light" w:hAnsi="Calibri Light" w:cs="Calibri Light"/>
          <w:color w:val="000000" w:themeColor="text1"/>
          <w:szCs w:val="22"/>
          <w:lang w:val="en-US"/>
        </w:rPr>
        <w:t>, the Board was asked to clarify the initial effective date for entities that do not have an annual reporting period that ends on December 31 (referred to as noncalendar year-end entities). Because of how the effective date guidance was written</w:t>
      </w:r>
      <w:r w:rsidR="00BC6242">
        <w:rPr>
          <w:rFonts w:ascii="Calibri Light" w:hAnsi="Calibri Light" w:cs="Calibri Light"/>
          <w:color w:val="000000" w:themeColor="text1"/>
          <w:szCs w:val="22"/>
          <w:lang w:val="en-US"/>
        </w:rPr>
        <w:t xml:space="preserve"> in ASU 2024-03</w:t>
      </w:r>
      <w:r w:rsidRPr="00D83C77">
        <w:rPr>
          <w:rFonts w:ascii="Calibri Light" w:hAnsi="Calibri Light" w:cs="Calibri Light"/>
          <w:color w:val="000000" w:themeColor="text1"/>
          <w:szCs w:val="22"/>
          <w:lang w:val="en-US"/>
        </w:rPr>
        <w:t xml:space="preserve">, a </w:t>
      </w:r>
      <w:proofErr w:type="spellStart"/>
      <w:r w:rsidRPr="00D83C77">
        <w:rPr>
          <w:rFonts w:ascii="Calibri Light" w:hAnsi="Calibri Light" w:cs="Calibri Light"/>
          <w:color w:val="000000" w:themeColor="text1"/>
          <w:szCs w:val="22"/>
          <w:lang w:val="en-US"/>
        </w:rPr>
        <w:t>noncalendar</w:t>
      </w:r>
      <w:proofErr w:type="spellEnd"/>
      <w:r w:rsidRPr="00D83C77">
        <w:rPr>
          <w:rFonts w:ascii="Calibri Light" w:hAnsi="Calibri Light" w:cs="Calibri Light"/>
          <w:color w:val="000000" w:themeColor="text1"/>
          <w:szCs w:val="22"/>
          <w:lang w:val="en-US"/>
        </w:rPr>
        <w:t xml:space="preserve"> </w:t>
      </w:r>
      <w:r w:rsidR="00BC6242" w:rsidRPr="00F96E49">
        <w:rPr>
          <w:rFonts w:ascii="Calibri Light" w:hAnsi="Calibri Light" w:cs="Calibri Light"/>
          <w:szCs w:val="22"/>
        </w:rPr>
        <w:t>year</w:t>
      </w:r>
      <w:r w:rsidRPr="00D83C77">
        <w:rPr>
          <w:rFonts w:ascii="Calibri Light" w:hAnsi="Calibri Light" w:cs="Calibri Light"/>
          <w:color w:val="000000" w:themeColor="text1"/>
          <w:szCs w:val="22"/>
          <w:lang w:val="en-US"/>
        </w:rPr>
        <w:t xml:space="preserve">-end entity may have concluded that it would be required to initially adopt the disclosure requirements in </w:t>
      </w:r>
      <w:r>
        <w:rPr>
          <w:rFonts w:ascii="Calibri Light" w:hAnsi="Calibri Light" w:cs="Calibri Light"/>
          <w:color w:val="000000" w:themeColor="text1"/>
          <w:szCs w:val="22"/>
          <w:lang w:val="en-US"/>
        </w:rPr>
        <w:t>ASU</w:t>
      </w:r>
      <w:r w:rsidRPr="00D83C77">
        <w:rPr>
          <w:rFonts w:ascii="Calibri Light" w:hAnsi="Calibri Light" w:cs="Calibri Light"/>
          <w:color w:val="000000" w:themeColor="text1"/>
          <w:szCs w:val="22"/>
          <w:lang w:val="en-US"/>
        </w:rPr>
        <w:t xml:space="preserve"> 2024-03 in an interim reporting period, rather than in an annual reporting period.</w:t>
      </w:r>
      <w:r>
        <w:rPr>
          <w:rFonts w:ascii="Calibri Light" w:hAnsi="Calibri Light" w:cs="Calibri Light"/>
          <w:color w:val="000000" w:themeColor="text1"/>
          <w:szCs w:val="22"/>
          <w:lang w:val="en-US"/>
        </w:rPr>
        <w:t xml:space="preserve"> </w:t>
      </w:r>
      <w:r w:rsidRPr="00D83C77">
        <w:rPr>
          <w:rFonts w:ascii="Calibri Light" w:hAnsi="Calibri Light" w:cs="Calibri Light"/>
          <w:color w:val="000000" w:themeColor="text1"/>
          <w:szCs w:val="22"/>
          <w:lang w:val="en-US"/>
        </w:rPr>
        <w:t>The amendment</w:t>
      </w:r>
      <w:r w:rsidR="006761CE">
        <w:rPr>
          <w:rFonts w:ascii="Calibri Light" w:hAnsi="Calibri Light" w:cs="Calibri Light"/>
          <w:color w:val="000000" w:themeColor="text1"/>
          <w:szCs w:val="22"/>
          <w:lang w:val="en-US"/>
        </w:rPr>
        <w:t>s</w:t>
      </w:r>
      <w:r w:rsidRPr="00D83C77">
        <w:rPr>
          <w:rFonts w:ascii="Calibri Light" w:hAnsi="Calibri Light" w:cs="Calibri Light"/>
          <w:color w:val="000000" w:themeColor="text1"/>
          <w:szCs w:val="22"/>
          <w:lang w:val="en-US"/>
        </w:rPr>
        <w:t xml:space="preserve"> in </w:t>
      </w:r>
      <w:hyperlink r:id="rId13" w:history="1">
        <w:r w:rsidR="006761CE">
          <w:rPr>
            <w:rStyle w:val="Hyperlink"/>
            <w:rFonts w:ascii="Calibri Light" w:hAnsi="Calibri Light" w:cs="Calibri Light"/>
          </w:rPr>
          <w:t>ASU 2025-01</w:t>
        </w:r>
      </w:hyperlink>
      <w:r w:rsidR="006761CE">
        <w:rPr>
          <w:rStyle w:val="Hyperlink"/>
          <w:rFonts w:ascii="Calibri Light" w:hAnsi="Calibri Light" w:cs="Calibri Light"/>
        </w:rPr>
        <w:t xml:space="preserve"> </w:t>
      </w:r>
      <w:r w:rsidRPr="00D83C77">
        <w:rPr>
          <w:rFonts w:ascii="Calibri Light" w:hAnsi="Calibri Light" w:cs="Calibri Light"/>
          <w:color w:val="000000" w:themeColor="text1"/>
          <w:szCs w:val="22"/>
          <w:lang w:val="en-US"/>
        </w:rPr>
        <w:t xml:space="preserve">amend the effective date of </w:t>
      </w:r>
      <w:r>
        <w:rPr>
          <w:rFonts w:ascii="Calibri Light" w:hAnsi="Calibri Light" w:cs="Calibri Light"/>
          <w:color w:val="000000" w:themeColor="text1"/>
          <w:szCs w:val="22"/>
          <w:lang w:val="en-US"/>
        </w:rPr>
        <w:t>ASU</w:t>
      </w:r>
      <w:r w:rsidRPr="00D83C77">
        <w:rPr>
          <w:rFonts w:ascii="Calibri Light" w:hAnsi="Calibri Light" w:cs="Calibri Light"/>
          <w:color w:val="000000" w:themeColor="text1"/>
          <w:szCs w:val="22"/>
          <w:lang w:val="en-US"/>
        </w:rPr>
        <w:t xml:space="preserve"> 2024-03 to clarify that all public business entities are required to adopt the guidance in annual reporting periods beginning after December 15, 2026, and interim periods within annual reporting periods beginning after December 15, 2027. Early adoption of </w:t>
      </w:r>
      <w:r>
        <w:rPr>
          <w:rFonts w:ascii="Calibri Light" w:hAnsi="Calibri Light" w:cs="Calibri Light"/>
          <w:color w:val="000000" w:themeColor="text1"/>
          <w:szCs w:val="22"/>
          <w:lang w:val="en-US"/>
        </w:rPr>
        <w:t>ASU</w:t>
      </w:r>
      <w:r w:rsidRPr="00D83C77">
        <w:rPr>
          <w:rFonts w:ascii="Calibri Light" w:hAnsi="Calibri Light" w:cs="Calibri Light"/>
          <w:color w:val="000000" w:themeColor="text1"/>
          <w:szCs w:val="22"/>
          <w:lang w:val="en-US"/>
        </w:rPr>
        <w:t xml:space="preserve"> 2024-03 is permitted.</w:t>
      </w:r>
    </w:p>
    <w:p w14:paraId="116E0361" w14:textId="21E4D5E0" w:rsidR="00AF3E74" w:rsidRDefault="00AF3E74" w:rsidP="00AF3E74">
      <w:pPr>
        <w:rPr>
          <w:rFonts w:ascii="Calibri Light" w:hAnsi="Calibri Light" w:cs="Calibri Light"/>
        </w:rPr>
      </w:pPr>
      <w:r w:rsidRPr="00DE479C">
        <w:rPr>
          <w:rFonts w:ascii="Calibri Light" w:hAnsi="Calibri Light" w:cs="Calibri Light"/>
        </w:rPr>
        <w:t xml:space="preserve">See Deloitte’s </w:t>
      </w:r>
      <w:r w:rsidR="006761CE">
        <w:rPr>
          <w:rFonts w:ascii="Calibri Light" w:hAnsi="Calibri Light" w:cs="Calibri Light"/>
        </w:rPr>
        <w:t>u</w:t>
      </w:r>
      <w:r w:rsidR="00D83C77">
        <w:rPr>
          <w:rFonts w:ascii="Calibri Light" w:hAnsi="Calibri Light" w:cs="Calibri Light"/>
        </w:rPr>
        <w:t>pdated January 21</w:t>
      </w:r>
      <w:r w:rsidRPr="00DE479C">
        <w:rPr>
          <w:rFonts w:ascii="Calibri Light" w:hAnsi="Calibri Light" w:cs="Calibri Light"/>
        </w:rPr>
        <w:t>, 202</w:t>
      </w:r>
      <w:r w:rsidR="00D83C77">
        <w:rPr>
          <w:rFonts w:ascii="Calibri Light" w:hAnsi="Calibri Light" w:cs="Calibri Light"/>
        </w:rPr>
        <w:t>5</w:t>
      </w:r>
      <w:r>
        <w:rPr>
          <w:rFonts w:ascii="Calibri Light" w:hAnsi="Calibri Light" w:cs="Calibri Light"/>
        </w:rPr>
        <w:t>,</w:t>
      </w:r>
      <w:r w:rsidRPr="00DE479C">
        <w:rPr>
          <w:rFonts w:ascii="Calibri Light" w:hAnsi="Calibri Light" w:cs="Calibri Light"/>
        </w:rPr>
        <w:t xml:space="preserve"> </w:t>
      </w:r>
      <w:hyperlink r:id="rId14" w:history="1">
        <w:r w:rsidRPr="00A56C53">
          <w:rPr>
            <w:rStyle w:val="Hyperlink"/>
            <w:rFonts w:ascii="Calibri Light" w:eastAsia="Verdana" w:hAnsi="Calibri Light" w:cs="Calibri Light"/>
          </w:rPr>
          <w:t>Heads Up</w:t>
        </w:r>
      </w:hyperlink>
      <w:r w:rsidRPr="00DE479C">
        <w:rPr>
          <w:rFonts w:ascii="Calibri Light" w:hAnsi="Calibri Light" w:cs="Calibri Light"/>
          <w:i/>
          <w:iCs/>
        </w:rPr>
        <w:t xml:space="preserve"> </w:t>
      </w:r>
      <w:r w:rsidRPr="00DE479C">
        <w:rPr>
          <w:rFonts w:ascii="Calibri Light" w:hAnsi="Calibri Light" w:cs="Calibri Light"/>
        </w:rPr>
        <w:t>for a comprehensive summary of the amendments made by</w:t>
      </w:r>
      <w:r w:rsidR="006761CE">
        <w:rPr>
          <w:rFonts w:ascii="Calibri Light" w:hAnsi="Calibri Light" w:cs="Calibri Light"/>
        </w:rPr>
        <w:t xml:space="preserve"> </w:t>
      </w:r>
      <w:hyperlink r:id="rId15" w:history="1">
        <w:r w:rsidR="006761CE">
          <w:rPr>
            <w:rStyle w:val="Hyperlink"/>
            <w:rFonts w:ascii="Calibri Light" w:hAnsi="Calibri Light" w:cs="Calibri Light"/>
          </w:rPr>
          <w:t>ASU 2024-03</w:t>
        </w:r>
      </w:hyperlink>
      <w:r w:rsidR="006761CE" w:rsidRPr="006761CE">
        <w:rPr>
          <w:rFonts w:ascii="Calibri Light" w:hAnsi="Calibri Light" w:cs="Calibri Light"/>
          <w:color w:val="000000" w:themeColor="text1"/>
        </w:rPr>
        <w:t xml:space="preserve"> </w:t>
      </w:r>
      <w:r w:rsidR="006761CE">
        <w:rPr>
          <w:rFonts w:ascii="Calibri Light" w:hAnsi="Calibri Light" w:cs="Calibri Light"/>
          <w:color w:val="000000" w:themeColor="text1"/>
        </w:rPr>
        <w:t>and</w:t>
      </w:r>
      <w:r w:rsidRPr="00DE479C">
        <w:rPr>
          <w:rFonts w:ascii="Calibri Light" w:hAnsi="Calibri Light" w:cs="Calibri Light"/>
        </w:rPr>
        <w:t xml:space="preserve"> </w:t>
      </w:r>
      <w:hyperlink r:id="rId16" w:history="1">
        <w:r w:rsidR="00D83C77">
          <w:rPr>
            <w:rStyle w:val="Hyperlink"/>
            <w:rFonts w:ascii="Calibri Light" w:hAnsi="Calibri Light" w:cs="Calibri Light"/>
          </w:rPr>
          <w:t>ASU 2025-01</w:t>
        </w:r>
      </w:hyperlink>
      <w:r w:rsidRPr="00DE479C">
        <w:rPr>
          <w:rFonts w:ascii="Calibri Light" w:hAnsi="Calibri Light" w:cs="Calibri Light"/>
        </w:rPr>
        <w:t>.</w:t>
      </w:r>
    </w:p>
    <w:p w14:paraId="2F747111" w14:textId="77777777" w:rsidR="00F96E49" w:rsidRDefault="001B5463" w:rsidP="00F96E49">
      <w:pPr>
        <w:pStyle w:val="PABulletLink75IND"/>
        <w:numPr>
          <w:ilvl w:val="0"/>
          <w:numId w:val="24"/>
        </w:numPr>
        <w:spacing w:before="0" w:after="240"/>
        <w:ind w:left="360"/>
        <w:rPr>
          <w:rStyle w:val="Hyperlink"/>
          <w:rFonts w:ascii="Calibri Light" w:hAnsi="Calibri Light" w:cs="Calibri Light"/>
          <w:b/>
          <w:iCs/>
        </w:rPr>
      </w:pPr>
      <w:hyperlink r:id="rId17" w:history="1">
        <w:r w:rsidR="00F96E49" w:rsidRPr="00F96E49">
          <w:rPr>
            <w:rStyle w:val="Hyperlink"/>
            <w:rFonts w:ascii="Calibri Light" w:hAnsi="Calibri Light" w:cs="Calibri Light"/>
            <w:b/>
            <w:iCs/>
          </w:rPr>
          <w:t>2025-02 — Liabilities (Topic 405): Amendments to SEC Paragraphs Pursuant to SEC Staff Accounting Bulletin No. 122</w:t>
        </w:r>
      </w:hyperlink>
    </w:p>
    <w:p w14:paraId="2A217D60" w14:textId="598070CE" w:rsidR="00FC64D9" w:rsidRPr="00F96E49" w:rsidRDefault="00FC64D9" w:rsidP="00C3006E">
      <w:pPr>
        <w:pStyle w:val="PABulletLink75IND"/>
        <w:numPr>
          <w:ilvl w:val="0"/>
          <w:numId w:val="0"/>
        </w:numPr>
        <w:spacing w:before="0" w:after="240"/>
        <w:rPr>
          <w:rStyle w:val="documentlip1"/>
          <w:rFonts w:ascii="Calibri Light" w:hAnsi="Calibri Light" w:cs="Calibri Light"/>
          <w:szCs w:val="22"/>
        </w:rPr>
      </w:pPr>
      <w:r w:rsidRPr="00F96E49">
        <w:rPr>
          <w:rStyle w:val="documentlip1"/>
          <w:rFonts w:ascii="Calibri Light" w:hAnsi="Calibri Light" w:cs="Calibri Light"/>
          <w:szCs w:val="22"/>
        </w:rPr>
        <w:t xml:space="preserve">In January 2025, the SEC published </w:t>
      </w:r>
      <w:hyperlink r:id="rId18" w:history="1">
        <w:r w:rsidRPr="00F96E49">
          <w:rPr>
            <w:rStyle w:val="Hyperlink"/>
            <w:rFonts w:ascii="Calibri Light" w:hAnsi="Calibri Light" w:cs="Calibri Light"/>
            <w:szCs w:val="22"/>
          </w:rPr>
          <w:t>Staff Accounting Bulletin (SAB) No. 122</w:t>
        </w:r>
      </w:hyperlink>
      <w:r w:rsidRPr="00F96E49">
        <w:rPr>
          <w:rStyle w:val="documentlip1"/>
          <w:rFonts w:ascii="Calibri Light" w:hAnsi="Calibri Light" w:cs="Calibri Light"/>
          <w:szCs w:val="22"/>
        </w:rPr>
        <w:t xml:space="preserve"> to rescind </w:t>
      </w:r>
      <w:hyperlink r:id="rId19" w:history="1">
        <w:r w:rsidRPr="00F96E49">
          <w:rPr>
            <w:rStyle w:val="Hyperlink"/>
            <w:rFonts w:ascii="Calibri Light" w:hAnsi="Calibri Light" w:cs="Calibri Light"/>
            <w:szCs w:val="22"/>
          </w:rPr>
          <w:t>SAB 121</w:t>
        </w:r>
      </w:hyperlink>
      <w:r w:rsidR="005630B4" w:rsidRPr="00F96E49">
        <w:rPr>
          <w:rStyle w:val="documentlip1"/>
          <w:rFonts w:ascii="Calibri Light" w:hAnsi="Calibri Light" w:cs="Calibri Light"/>
          <w:szCs w:val="22"/>
        </w:rPr>
        <w:t xml:space="preserve"> (as codified, SAB Topic 5.FF)</w:t>
      </w:r>
      <w:r w:rsidRPr="00F96E49">
        <w:rPr>
          <w:rStyle w:val="documentlip1"/>
          <w:rFonts w:ascii="Calibri Light" w:hAnsi="Calibri Light" w:cs="Calibri Light"/>
          <w:szCs w:val="22"/>
        </w:rPr>
        <w:t xml:space="preserve">. </w:t>
      </w:r>
      <w:r w:rsidRPr="00F96E49">
        <w:rPr>
          <w:rFonts w:ascii="Calibri Light" w:hAnsi="Calibri Light" w:cs="Calibri Light"/>
          <w:color w:val="000000" w:themeColor="text1"/>
          <w:szCs w:val="22"/>
          <w:lang w:val="en-US"/>
        </w:rPr>
        <w:t xml:space="preserve">SAB 121 previously required an entity to recognize a liability and corresponding asset for its obligation to safeguard crypto assets. In response to SAB 122, the FASB </w:t>
      </w:r>
      <w:r w:rsidR="005630B4" w:rsidRPr="00F96E49">
        <w:rPr>
          <w:rFonts w:ascii="Calibri Light" w:hAnsi="Calibri Light" w:cs="Calibri Light"/>
          <w:color w:val="000000" w:themeColor="text1"/>
          <w:szCs w:val="22"/>
          <w:lang w:val="en-US"/>
        </w:rPr>
        <w:t>issu</w:t>
      </w:r>
      <w:r w:rsidRPr="00F96E49">
        <w:rPr>
          <w:rFonts w:ascii="Calibri Light" w:hAnsi="Calibri Light" w:cs="Calibri Light"/>
          <w:color w:val="000000" w:themeColor="text1"/>
          <w:szCs w:val="22"/>
          <w:lang w:val="en-US"/>
        </w:rPr>
        <w:t xml:space="preserve">ed </w:t>
      </w:r>
      <w:hyperlink r:id="rId20" w:history="1">
        <w:r w:rsidRPr="00F96E49">
          <w:rPr>
            <w:rStyle w:val="Hyperlink"/>
            <w:rFonts w:ascii="Calibri Light" w:hAnsi="Calibri Light" w:cs="Calibri Light"/>
            <w:szCs w:val="22"/>
            <w:lang w:val="en-US"/>
          </w:rPr>
          <w:t>ASU 2025-02</w:t>
        </w:r>
      </w:hyperlink>
      <w:r w:rsidR="009F568E" w:rsidRPr="00F96E49">
        <w:rPr>
          <w:rFonts w:ascii="Calibri Light" w:hAnsi="Calibri Light" w:cs="Calibri Light"/>
          <w:color w:val="000000" w:themeColor="text1"/>
          <w:szCs w:val="22"/>
          <w:lang w:val="en-US"/>
        </w:rPr>
        <w:t xml:space="preserve"> in March 2025,</w:t>
      </w:r>
      <w:r w:rsidRPr="00F96E49">
        <w:rPr>
          <w:rFonts w:ascii="Calibri Light" w:hAnsi="Calibri Light" w:cs="Calibri Light"/>
          <w:color w:val="000000" w:themeColor="text1"/>
          <w:szCs w:val="22"/>
          <w:lang w:val="en-US"/>
        </w:rPr>
        <w:t xml:space="preserve"> which amends the guidance in ASC 450-10-S99-1 to remove the text of SAB Topic 5.FF, “Accounting for Obligations to Safeguard Crypto-Assets an Entity Holds for Its Platform Users.”</w:t>
      </w:r>
    </w:p>
    <w:p w14:paraId="6328657D" w14:textId="449843F1" w:rsidR="00FB4B47" w:rsidRDefault="00FB4B47" w:rsidP="00FB4B47">
      <w:pPr>
        <w:rPr>
          <w:rFonts w:ascii="Calibri Light" w:hAnsi="Calibri Light" w:cs="Calibri Light"/>
        </w:rPr>
      </w:pPr>
      <w:r w:rsidRPr="00DE479C">
        <w:rPr>
          <w:rFonts w:ascii="Calibri Light" w:hAnsi="Calibri Light" w:cs="Calibri Light"/>
        </w:rPr>
        <w:t xml:space="preserve">See Deloitte’s </w:t>
      </w:r>
      <w:r w:rsidR="00FC64D9">
        <w:rPr>
          <w:rFonts w:ascii="Calibri Light" w:hAnsi="Calibri Light" w:cs="Calibri Light"/>
        </w:rPr>
        <w:t>January</w:t>
      </w:r>
      <w:r>
        <w:rPr>
          <w:rFonts w:ascii="Calibri Light" w:hAnsi="Calibri Light" w:cs="Calibri Light"/>
        </w:rPr>
        <w:t xml:space="preserve"> </w:t>
      </w:r>
      <w:r w:rsidR="00FC64D9">
        <w:rPr>
          <w:rFonts w:ascii="Calibri Light" w:hAnsi="Calibri Light" w:cs="Calibri Light"/>
        </w:rPr>
        <w:t>27</w:t>
      </w:r>
      <w:r w:rsidRPr="00DE479C">
        <w:rPr>
          <w:rFonts w:ascii="Calibri Light" w:hAnsi="Calibri Light" w:cs="Calibri Light"/>
        </w:rPr>
        <w:t>, 202</w:t>
      </w:r>
      <w:r w:rsidR="00FC64D9">
        <w:rPr>
          <w:rFonts w:ascii="Calibri Light" w:hAnsi="Calibri Light" w:cs="Calibri Light"/>
        </w:rPr>
        <w:t>5</w:t>
      </w:r>
      <w:r>
        <w:rPr>
          <w:rFonts w:ascii="Calibri Light" w:hAnsi="Calibri Light" w:cs="Calibri Light"/>
        </w:rPr>
        <w:t>,</w:t>
      </w:r>
      <w:r w:rsidRPr="00DE479C">
        <w:rPr>
          <w:rFonts w:ascii="Calibri Light" w:hAnsi="Calibri Light" w:cs="Calibri Light"/>
        </w:rPr>
        <w:t xml:space="preserve"> </w:t>
      </w:r>
      <w:hyperlink r:id="rId21" w:history="1">
        <w:r w:rsidRPr="00A56C53">
          <w:rPr>
            <w:rStyle w:val="Hyperlink"/>
            <w:rFonts w:ascii="Calibri Light" w:eastAsia="Verdana" w:hAnsi="Calibri Light" w:cs="Calibri Light"/>
          </w:rPr>
          <w:t>Heads Up</w:t>
        </w:r>
      </w:hyperlink>
      <w:r w:rsidRPr="00DE479C">
        <w:rPr>
          <w:rFonts w:ascii="Calibri Light" w:hAnsi="Calibri Light" w:cs="Calibri Light"/>
          <w:i/>
          <w:iCs/>
        </w:rPr>
        <w:t xml:space="preserve"> </w:t>
      </w:r>
      <w:r w:rsidRPr="00DE479C">
        <w:rPr>
          <w:rFonts w:ascii="Calibri Light" w:hAnsi="Calibri Light" w:cs="Calibri Light"/>
        </w:rPr>
        <w:t xml:space="preserve">for a </w:t>
      </w:r>
      <w:r w:rsidR="00FC64D9">
        <w:rPr>
          <w:rFonts w:ascii="Calibri Light" w:hAnsi="Calibri Light" w:cs="Calibri Light"/>
        </w:rPr>
        <w:t>summary of the impacts SAB 122 will have on entities that were previously within the scope of SAB 121.</w:t>
      </w: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10C3DB88"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proofErr w:type="gramStart"/>
      <w:r w:rsidRPr="00493116">
        <w:rPr>
          <w:rFonts w:ascii="Calibri Light" w:hAnsi="Calibri Light" w:cs="Calibri Light"/>
        </w:rPr>
        <w:t>)</w:t>
      </w:r>
      <w:r w:rsidR="001D62FD">
        <w:rPr>
          <w:rFonts w:ascii="Calibri Light" w:hAnsi="Calibri Light" w:cs="Calibri Light"/>
        </w:rPr>
        <w:t>,</w:t>
      </w:r>
      <w:r w:rsidRPr="00493116">
        <w:rPr>
          <w:rFonts w:ascii="Calibri Light" w:hAnsi="Calibri Light" w:cs="Calibri Light"/>
        </w:rPr>
        <w:t xml:space="preserve"> but</w:t>
      </w:r>
      <w:proofErr w:type="gramEnd"/>
      <w:r w:rsidRPr="00493116">
        <w:rPr>
          <w:rFonts w:ascii="Calibri Light" w:hAnsi="Calibri Light" w:cs="Calibri Light"/>
        </w:rPr>
        <w:t xml:space="preserve">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p>
    <w:p w14:paraId="6FB95962" w14:textId="77777777" w:rsidR="00F96E49" w:rsidRPr="00F96E49" w:rsidRDefault="001B5463" w:rsidP="00826431">
      <w:pPr>
        <w:pStyle w:val="PABulletLink75IND"/>
        <w:numPr>
          <w:ilvl w:val="0"/>
          <w:numId w:val="18"/>
        </w:numPr>
        <w:spacing w:before="0" w:after="240"/>
        <w:ind w:left="360"/>
        <w:rPr>
          <w:rStyle w:val="Hyperlink"/>
          <w:rFonts w:cs="Calibri"/>
          <w:color w:val="000000"/>
          <w:u w:val="none"/>
        </w:rPr>
      </w:pPr>
      <w:hyperlink r:id="rId22" w:history="1">
        <w:r w:rsidR="00F96E49" w:rsidRPr="00F96E49">
          <w:rPr>
            <w:rStyle w:val="Hyperlink"/>
            <w:rFonts w:ascii="Calibri Light" w:hAnsi="Calibri Light" w:cs="Calibri Light"/>
            <w:b/>
            <w:iCs/>
          </w:rPr>
          <w:t>2025-01 – Income Statement—Reporting Comprehensive Income—Expense Disaggregation Disclosures (Subtopic 220-40): Clarifying the Effective Date</w:t>
        </w:r>
      </w:hyperlink>
    </w:p>
    <w:p w14:paraId="7FD3D031" w14:textId="34DBCFA2" w:rsidR="00AF3E74" w:rsidRPr="00C56E38" w:rsidRDefault="00AF3E74" w:rsidP="00F96E49">
      <w:pPr>
        <w:pStyle w:val="PABulletLink75IND"/>
        <w:numPr>
          <w:ilvl w:val="0"/>
          <w:numId w:val="0"/>
        </w:numPr>
        <w:spacing w:before="0" w:after="240"/>
      </w:pPr>
      <w:r w:rsidRPr="00F96E49">
        <w:rPr>
          <w:rFonts w:ascii="Calibri Light" w:hAnsi="Calibri Light" w:cs="Calibri Light"/>
        </w:rPr>
        <w:t>The following sections have not been updated in the U.S. GAAP Checklist</w:t>
      </w:r>
      <w:r w:rsidRPr="00F96E49" w:rsidDel="00560F4C">
        <w:rPr>
          <w:rFonts w:ascii="Calibri Light" w:hAnsi="Calibri Light" w:cs="Calibri Light"/>
        </w:rPr>
        <w:t xml:space="preserve"> </w:t>
      </w:r>
      <w:r w:rsidRPr="00F96E49">
        <w:rPr>
          <w:rFonts w:ascii="Calibri Light" w:hAnsi="Calibri Light" w:cs="Calibri Light"/>
        </w:rPr>
        <w:t>because there are no questions related to background, scope, implementation, transition, or SEC Materials guidance, but the sections were amended in the Codification to reflect the clarifications made in the ASU as described above:</w:t>
      </w:r>
    </w:p>
    <w:p w14:paraId="03AA685E" w14:textId="315449E1" w:rsidR="00FB5230" w:rsidRPr="00A56C53" w:rsidRDefault="001B5463" w:rsidP="00E2495C">
      <w:pPr>
        <w:pStyle w:val="PABullet1"/>
        <w:numPr>
          <w:ilvl w:val="0"/>
          <w:numId w:val="9"/>
        </w:numPr>
        <w:spacing w:before="240" w:after="240"/>
        <w:ind w:left="720"/>
        <w:rPr>
          <w:rFonts w:ascii="Calibri Light" w:hAnsi="Calibri Light" w:cs="Calibri Light"/>
        </w:rPr>
      </w:pPr>
      <w:hyperlink r:id="rId23" w:history="1">
        <w:r w:rsidR="00FB5230" w:rsidRPr="00A56C53">
          <w:rPr>
            <w:rStyle w:val="Hyperlink"/>
            <w:rFonts w:ascii="Calibri Light" w:hAnsi="Calibri Light" w:cs="Calibri Light"/>
          </w:rPr>
          <w:t>220-40-65</w:t>
        </w:r>
      </w:hyperlink>
      <w:r w:rsidR="00FB5230" w:rsidRPr="00A56C53">
        <w:rPr>
          <w:rFonts w:ascii="Calibri Light" w:hAnsi="Calibri Light" w:cs="Calibri Light"/>
        </w:rPr>
        <w:t xml:space="preserve">, </w:t>
      </w:r>
      <w:r w:rsidR="00E2495C" w:rsidRPr="00BD755D">
        <w:rPr>
          <w:rFonts w:ascii="Calibri Light" w:hAnsi="Calibri Light" w:cs="Calibri Light"/>
          <w:i/>
          <w:iCs/>
        </w:rPr>
        <w:t>Income Statement—Reporting Comprehensive Income — Expense Disaggregation Disclosures — Transition and Open Effective Date Information</w:t>
      </w:r>
    </w:p>
    <w:p w14:paraId="27888717" w14:textId="04175FB1" w:rsidR="005E19C3" w:rsidRDefault="001B5463" w:rsidP="005E19C3">
      <w:pPr>
        <w:pStyle w:val="PABulletLink75IND"/>
        <w:numPr>
          <w:ilvl w:val="0"/>
          <w:numId w:val="18"/>
        </w:numPr>
        <w:spacing w:before="0" w:after="240"/>
        <w:ind w:left="360"/>
        <w:rPr>
          <w:rStyle w:val="Hyperlink"/>
          <w:rFonts w:ascii="Calibri Light" w:hAnsi="Calibri Light" w:cs="Calibri Light"/>
          <w:b/>
          <w:iCs/>
        </w:rPr>
      </w:pPr>
      <w:hyperlink r:id="rId24" w:history="1">
        <w:r w:rsidR="00BD755D" w:rsidRPr="00BD755D">
          <w:rPr>
            <w:rStyle w:val="Hyperlink"/>
            <w:rFonts w:ascii="Calibri Light" w:hAnsi="Calibri Light" w:cs="Calibri Light"/>
            <w:b/>
            <w:iCs/>
          </w:rPr>
          <w:t>2025-02 — Liabilities (Topic 405)</w:t>
        </w:r>
        <w:r w:rsidR="005630B4" w:rsidRPr="00BD755D">
          <w:rPr>
            <w:rStyle w:val="Hyperlink"/>
            <w:rFonts w:ascii="Calibri Light" w:hAnsi="Calibri Light" w:cs="Calibri Light"/>
            <w:b/>
            <w:iCs/>
          </w:rPr>
          <w:t xml:space="preserve">: Amendments to SEC </w:t>
        </w:r>
        <w:r w:rsidR="00F96E49">
          <w:rPr>
            <w:rStyle w:val="Hyperlink"/>
            <w:rFonts w:ascii="Calibri Light" w:hAnsi="Calibri Light" w:cs="Calibri Light"/>
            <w:b/>
            <w:iCs/>
          </w:rPr>
          <w:t>P</w:t>
        </w:r>
        <w:r w:rsidR="005630B4" w:rsidRPr="00BD755D">
          <w:rPr>
            <w:rStyle w:val="Hyperlink"/>
            <w:rFonts w:ascii="Calibri Light" w:hAnsi="Calibri Light" w:cs="Calibri Light"/>
            <w:b/>
            <w:iCs/>
          </w:rPr>
          <w:t xml:space="preserve">aragraphs </w:t>
        </w:r>
        <w:r w:rsidR="003D0E91" w:rsidRPr="00BD755D">
          <w:rPr>
            <w:rStyle w:val="Hyperlink"/>
            <w:rFonts w:ascii="Calibri Light" w:hAnsi="Calibri Light" w:cs="Calibri Light"/>
            <w:b/>
            <w:iCs/>
          </w:rPr>
          <w:t>Pursuant</w:t>
        </w:r>
        <w:r w:rsidR="005630B4" w:rsidRPr="00BD755D">
          <w:rPr>
            <w:rStyle w:val="Hyperlink"/>
            <w:rFonts w:ascii="Calibri Light" w:hAnsi="Calibri Light" w:cs="Calibri Light"/>
            <w:b/>
            <w:iCs/>
          </w:rPr>
          <w:t xml:space="preserve"> to SEC Staff Accounting Bulletin No 1. 122</w:t>
        </w:r>
      </w:hyperlink>
    </w:p>
    <w:p w14:paraId="460A39F4" w14:textId="77777777" w:rsidR="0016399C" w:rsidRPr="0016399C" w:rsidRDefault="0016399C" w:rsidP="00D802E4">
      <w:r w:rsidRPr="0016399C">
        <w:rPr>
          <w:rFonts w:ascii="Calibri Light" w:hAnsi="Calibri Light" w:cs="Calibri Light"/>
        </w:rPr>
        <w:t>The following sections have not been updated in the U.S. GAAP Checklist because there are no questions in the U.S. GAAP Checklist related to background, scope, implementation, transition, or SEC Materials guidance, but the sections were amended in the Codification to reflect the clarifications made in the ASUs as described above:</w:t>
      </w:r>
    </w:p>
    <w:p w14:paraId="1B73F640" w14:textId="02687ED8" w:rsidR="0000219F" w:rsidRPr="00A56C53" w:rsidRDefault="001B5463" w:rsidP="0016399C">
      <w:pPr>
        <w:pStyle w:val="PABullet1"/>
        <w:numPr>
          <w:ilvl w:val="0"/>
          <w:numId w:val="9"/>
        </w:numPr>
        <w:spacing w:before="240" w:after="240"/>
        <w:ind w:left="720"/>
        <w:rPr>
          <w:rFonts w:ascii="Calibri Light" w:hAnsi="Calibri Light" w:cs="Calibri Light"/>
        </w:rPr>
      </w:pPr>
      <w:hyperlink r:id="rId25" w:history="1">
        <w:r w:rsidR="005E19C3" w:rsidRPr="001339AE">
          <w:rPr>
            <w:rStyle w:val="Hyperlink"/>
            <w:rFonts w:ascii="Calibri Light" w:hAnsi="Calibri Light" w:cs="Calibri Light"/>
          </w:rPr>
          <w:t>405-10-S99</w:t>
        </w:r>
      </w:hyperlink>
      <w:r w:rsidR="0000219F">
        <w:rPr>
          <w:rFonts w:ascii="Calibri Light" w:hAnsi="Calibri Light" w:cs="Calibri Light"/>
          <w:i/>
          <w:iCs/>
        </w:rPr>
        <w:t>,</w:t>
      </w:r>
      <w:r w:rsidR="00093749">
        <w:rPr>
          <w:rFonts w:ascii="Calibri Light" w:hAnsi="Calibri Light" w:cs="Calibri Light"/>
          <w:i/>
          <w:iCs/>
        </w:rPr>
        <w:t xml:space="preserve"> </w:t>
      </w:r>
      <w:r w:rsidR="005E19C3">
        <w:rPr>
          <w:rFonts w:ascii="Calibri Light" w:hAnsi="Calibri Light" w:cs="Calibri Light"/>
          <w:i/>
          <w:iCs/>
        </w:rPr>
        <w:t>Liabilities</w:t>
      </w:r>
      <w:r w:rsidR="00093749" w:rsidRPr="00093749">
        <w:rPr>
          <w:rFonts w:ascii="Calibri Light" w:hAnsi="Calibri Light" w:cs="Calibri Light"/>
          <w:i/>
          <w:iCs/>
        </w:rPr>
        <w:t xml:space="preserve"> — </w:t>
      </w:r>
      <w:r w:rsidR="005E19C3">
        <w:rPr>
          <w:rFonts w:ascii="Calibri Light" w:hAnsi="Calibri Light" w:cs="Calibri Light"/>
          <w:i/>
          <w:iCs/>
        </w:rPr>
        <w:t>Overall</w:t>
      </w:r>
      <w:r w:rsidR="00093749" w:rsidRPr="00093749">
        <w:rPr>
          <w:rFonts w:ascii="Calibri Light" w:hAnsi="Calibri Light" w:cs="Calibri Light"/>
          <w:i/>
          <w:iCs/>
        </w:rPr>
        <w:t xml:space="preserve"> — </w:t>
      </w:r>
      <w:r w:rsidR="005E19C3">
        <w:rPr>
          <w:rFonts w:ascii="Calibri Light" w:hAnsi="Calibri Light" w:cs="Calibri Light"/>
          <w:i/>
          <w:iCs/>
        </w:rPr>
        <w:t>SEC Materials</w:t>
      </w:r>
    </w:p>
    <w:p w14:paraId="53FF8926" w14:textId="61CAA876" w:rsidR="001B5463" w:rsidRDefault="001B5463">
      <w:pPr>
        <w:widowControl/>
        <w:autoSpaceDE/>
        <w:autoSpaceDN/>
        <w:spacing w:after="0" w:line="240" w:lineRule="auto"/>
        <w:rPr>
          <w:rFonts w:eastAsiaTheme="minorHAnsi" w:cs="Calibri"/>
          <w:color w:val="000000"/>
          <w:szCs w:val="18"/>
          <w:shd w:val="clear" w:color="auto" w:fill="FFFFFF"/>
          <w:lang w:val="en-GB"/>
        </w:rPr>
      </w:pPr>
      <w:r>
        <w:br w:type="page"/>
      </w:r>
    </w:p>
    <w:p w14:paraId="36ADB041" w14:textId="77777777" w:rsidR="0016399C" w:rsidRDefault="0016399C" w:rsidP="004F2E23">
      <w:pPr>
        <w:pStyle w:val="PABullet1"/>
        <w:spacing w:before="240" w:after="240"/>
      </w:pPr>
    </w:p>
    <w:p w14:paraId="453A6841" w14:textId="77777777" w:rsidR="001B5463" w:rsidRDefault="001B5463" w:rsidP="004F2E23">
      <w:pPr>
        <w:pStyle w:val="PABullet1"/>
        <w:spacing w:before="240" w:after="240"/>
      </w:pPr>
    </w:p>
    <w:p w14:paraId="5D66A210" w14:textId="77777777" w:rsidR="001B5463" w:rsidRDefault="001B5463" w:rsidP="004F2E23">
      <w:pPr>
        <w:pStyle w:val="PABullet1"/>
        <w:spacing w:before="240" w:after="240"/>
      </w:pPr>
    </w:p>
    <w:p w14:paraId="2E275719" w14:textId="77777777" w:rsidR="001B5463" w:rsidRDefault="001B5463" w:rsidP="004F2E23">
      <w:pPr>
        <w:pStyle w:val="PABullet1"/>
        <w:spacing w:before="240" w:after="240"/>
      </w:pPr>
    </w:p>
    <w:p w14:paraId="151716BE" w14:textId="77777777" w:rsidR="001B5463" w:rsidRDefault="001B5463" w:rsidP="004F2E23">
      <w:pPr>
        <w:pStyle w:val="PABullet1"/>
        <w:spacing w:before="240" w:after="240"/>
      </w:pPr>
    </w:p>
    <w:p w14:paraId="19154C85" w14:textId="77777777" w:rsidR="001B5463" w:rsidRDefault="001B5463" w:rsidP="004F2E23">
      <w:pPr>
        <w:pStyle w:val="PABullet1"/>
        <w:spacing w:before="240" w:after="240"/>
      </w:pPr>
    </w:p>
    <w:p w14:paraId="7018FFE0" w14:textId="77777777" w:rsidR="001B5463" w:rsidRDefault="001B5463" w:rsidP="004F2E23">
      <w:pPr>
        <w:pStyle w:val="PABullet1"/>
        <w:spacing w:before="240" w:after="240"/>
      </w:pPr>
    </w:p>
    <w:p w14:paraId="1D546511" w14:textId="77777777" w:rsidR="001B5463" w:rsidRDefault="001B5463" w:rsidP="004F2E23">
      <w:pPr>
        <w:pStyle w:val="PABullet1"/>
        <w:spacing w:before="240" w:after="240"/>
      </w:pPr>
    </w:p>
    <w:p w14:paraId="668189F2" w14:textId="77777777" w:rsidR="001B5463" w:rsidRDefault="001B5463" w:rsidP="004F2E23">
      <w:pPr>
        <w:pStyle w:val="PABullet1"/>
        <w:spacing w:before="240" w:after="240"/>
      </w:pPr>
    </w:p>
    <w:p w14:paraId="1F700684" w14:textId="77777777" w:rsidR="001B5463" w:rsidRDefault="001B5463" w:rsidP="004F2E23">
      <w:pPr>
        <w:pStyle w:val="PABullet1"/>
        <w:spacing w:before="240" w:after="240"/>
      </w:pPr>
    </w:p>
    <w:p w14:paraId="25E7CEA0" w14:textId="77777777" w:rsidR="001B5463" w:rsidRDefault="001B5463" w:rsidP="004F2E23">
      <w:pPr>
        <w:pStyle w:val="PABullet1"/>
        <w:spacing w:before="240" w:after="240"/>
      </w:pPr>
    </w:p>
    <w:p w14:paraId="0504310A" w14:textId="77777777" w:rsidR="001B5463" w:rsidRDefault="001B5463" w:rsidP="004F2E23">
      <w:pPr>
        <w:pStyle w:val="PABullet1"/>
        <w:spacing w:before="240" w:after="240"/>
      </w:pPr>
    </w:p>
    <w:p w14:paraId="2109B1F1" w14:textId="77777777" w:rsidR="001B5463" w:rsidRDefault="001B5463" w:rsidP="004F2E23">
      <w:pPr>
        <w:pStyle w:val="PABullet1"/>
        <w:spacing w:before="240" w:after="240"/>
      </w:pPr>
    </w:p>
    <w:p w14:paraId="661AF60B" w14:textId="77777777" w:rsidR="001B5463" w:rsidRDefault="001B5463" w:rsidP="004F2E23">
      <w:pPr>
        <w:pStyle w:val="PABullet1"/>
        <w:spacing w:before="240" w:after="240"/>
      </w:pPr>
    </w:p>
    <w:p w14:paraId="36C02220" w14:textId="77777777" w:rsidR="001B5463" w:rsidRDefault="001B5463" w:rsidP="004F2E23">
      <w:pPr>
        <w:pStyle w:val="PABullet1"/>
        <w:spacing w:before="240" w:after="240"/>
      </w:pPr>
    </w:p>
    <w:p w14:paraId="2FD3B495" w14:textId="77777777" w:rsidR="00031ADF" w:rsidRDefault="00031ADF"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26"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4A981730"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5E19C3">
        <w:rPr>
          <w:rFonts w:ascii="Calibri Light" w:hAnsi="Calibri Light" w:cs="Calibri Light"/>
          <w:sz w:val="16"/>
          <w:szCs w:val="16"/>
        </w:rPr>
        <w:t>5</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default" r:id="rId27"/>
      <w:footerReference w:type="defaul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E934D" w14:textId="77777777" w:rsidR="003F7098" w:rsidRDefault="003F7098" w:rsidP="00C612CD">
      <w:r>
        <w:separator/>
      </w:r>
    </w:p>
    <w:p w14:paraId="5165D36D" w14:textId="77777777" w:rsidR="003F7098" w:rsidRDefault="003F7098" w:rsidP="00C612CD"/>
  </w:endnote>
  <w:endnote w:type="continuationSeparator" w:id="0">
    <w:p w14:paraId="504DEB9D" w14:textId="77777777" w:rsidR="003F7098" w:rsidRDefault="003F7098" w:rsidP="00C612CD">
      <w:r>
        <w:continuationSeparator/>
      </w:r>
    </w:p>
    <w:p w14:paraId="5854B8FB" w14:textId="77777777" w:rsidR="003F7098" w:rsidRDefault="003F7098" w:rsidP="00C612CD"/>
  </w:endnote>
  <w:endnote w:type="continuationNotice" w:id="1">
    <w:p w14:paraId="28D985CF" w14:textId="77777777" w:rsidR="003F7098" w:rsidRDefault="003F7098"/>
    <w:p w14:paraId="3BEF2852" w14:textId="77777777" w:rsidR="003F7098" w:rsidRDefault="003F7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A49A8" w14:textId="77777777" w:rsidR="003F7098" w:rsidRDefault="003F7098" w:rsidP="00C612CD">
      <w:r>
        <w:separator/>
      </w:r>
    </w:p>
  </w:footnote>
  <w:footnote w:type="continuationSeparator" w:id="0">
    <w:p w14:paraId="40C3AC2A" w14:textId="77777777" w:rsidR="003F7098" w:rsidRDefault="003F7098" w:rsidP="00C612CD">
      <w:r>
        <w:continuationSeparator/>
      </w:r>
    </w:p>
  </w:footnote>
  <w:footnote w:type="continuationNotice" w:id="1">
    <w:p w14:paraId="6CB0C749" w14:textId="77777777" w:rsidR="003F7098" w:rsidRPr="00DF1F95" w:rsidRDefault="003F7098" w:rsidP="00DF1F95">
      <w:pPr>
        <w:pStyle w:val="Footer"/>
      </w:pPr>
    </w:p>
  </w:footnote>
  <w:footnote w:id="2">
    <w:p w14:paraId="7A965C10" w14:textId="2BC9D136" w:rsidR="004D475B" w:rsidRDefault="004D475B" w:rsidP="00302B42">
      <w:pPr>
        <w:pStyle w:val="FootnoteText"/>
        <w:rPr>
          <w:rFonts w:ascii="Calibri Light" w:hAnsi="Calibri Light" w:cs="Calibri Light"/>
          <w:szCs w:val="16"/>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w:t>
      </w:r>
      <w:r w:rsidR="00CC2294">
        <w:rPr>
          <w:rFonts w:ascii="Calibri Light" w:hAnsi="Calibri Light" w:cs="Calibri Light"/>
          <w:szCs w:val="16"/>
          <w:lang w:val="en-US"/>
        </w:rPr>
        <w:t xml:space="preserve"> include within its</w:t>
      </w:r>
      <w:r w:rsidRPr="00E90D62">
        <w:rPr>
          <w:rStyle w:val="FootnoteReference"/>
          <w:rFonts w:ascii="Calibri Light" w:hAnsi="Calibri Light" w:cs="Calibri Light"/>
          <w:szCs w:val="16"/>
          <w:vertAlign w:val="baseline"/>
        </w:rPr>
        <w:t xml:space="preserve"> scope</w:t>
      </w:r>
      <w:r w:rsidR="00CC2294">
        <w:rPr>
          <w:rStyle w:val="FootnoteReference"/>
          <w:rFonts w:ascii="Calibri Light" w:hAnsi="Calibri Light" w:cs="Calibri Light"/>
          <w:szCs w:val="16"/>
          <w:vertAlign w:val="baseline"/>
          <w:lang w:val="en-US"/>
        </w:rPr>
        <w:t>,</w:t>
      </w:r>
      <w:r w:rsidRPr="00E90D62">
        <w:rPr>
          <w:rStyle w:val="FootnoteReference"/>
          <w:rFonts w:ascii="Calibri Light" w:hAnsi="Calibri Light" w:cs="Calibri Light"/>
          <w:szCs w:val="16"/>
          <w:vertAlign w:val="baseline"/>
        </w:rPr>
        <w:t xml:space="preserve"> Topics and Subtopics into the checklist based on what is applicable for the entity.</w:t>
      </w:r>
    </w:p>
    <w:p w14:paraId="786BC547" w14:textId="63B8E054" w:rsidR="004A7988" w:rsidRPr="00E90D62" w:rsidRDefault="004A7988" w:rsidP="00302B42">
      <w:pPr>
        <w:pStyle w:val="FootnoteText"/>
        <w:rPr>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708CD42C"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U.S. GAAP Checklist Q</w:t>
    </w:r>
    <w:r w:rsidR="00EC0441">
      <w:rPr>
        <w:rFonts w:ascii="Calibri Light" w:hAnsi="Calibri Light" w:cs="Calibri Light"/>
      </w:rPr>
      <w:t>1</w:t>
    </w:r>
    <w:r w:rsidRPr="001F7812">
      <w:rPr>
        <w:rFonts w:ascii="Calibri Light" w:hAnsi="Calibri Light" w:cs="Calibri Light"/>
      </w:rPr>
      <w:t xml:space="preserve"> </w:t>
    </w:r>
    <w:r w:rsidR="00EC0441">
      <w:rPr>
        <w:rFonts w:ascii="Calibri Light" w:hAnsi="Calibri Light" w:cs="Calibri Light"/>
      </w:rPr>
      <w:t>April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CFAC8764"/>
    <w:lvl w:ilvl="0" w:tplc="7BDE534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54A64"/>
    <w:multiLevelType w:val="hybridMultilevel"/>
    <w:tmpl w:val="A4D06D48"/>
    <w:lvl w:ilvl="0" w:tplc="E4007A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7F1BB7"/>
    <w:multiLevelType w:val="hybridMultilevel"/>
    <w:tmpl w:val="509E0EA4"/>
    <w:lvl w:ilvl="0" w:tplc="0D5AAD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9"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8"/>
  </w:num>
  <w:num w:numId="2" w16cid:durableId="171577336">
    <w:abstractNumId w:val="20"/>
  </w:num>
  <w:num w:numId="3" w16cid:durableId="347876909">
    <w:abstractNumId w:val="1"/>
  </w:num>
  <w:num w:numId="4" w16cid:durableId="815535966">
    <w:abstractNumId w:val="22"/>
  </w:num>
  <w:num w:numId="5" w16cid:durableId="794913274">
    <w:abstractNumId w:val="3"/>
  </w:num>
  <w:num w:numId="6" w16cid:durableId="691496523">
    <w:abstractNumId w:val="7"/>
  </w:num>
  <w:num w:numId="7" w16cid:durableId="258216739">
    <w:abstractNumId w:val="19"/>
  </w:num>
  <w:num w:numId="8" w16cid:durableId="169956396">
    <w:abstractNumId w:val="4"/>
  </w:num>
  <w:num w:numId="9" w16cid:durableId="766584667">
    <w:abstractNumId w:val="0"/>
  </w:num>
  <w:num w:numId="10" w16cid:durableId="1182359706">
    <w:abstractNumId w:val="21"/>
  </w:num>
  <w:num w:numId="11" w16cid:durableId="161628548">
    <w:abstractNumId w:val="6"/>
  </w:num>
  <w:num w:numId="12" w16cid:durableId="145363864">
    <w:abstractNumId w:val="11"/>
  </w:num>
  <w:num w:numId="13" w16cid:durableId="1050574019">
    <w:abstractNumId w:val="2"/>
  </w:num>
  <w:num w:numId="14" w16cid:durableId="1572736980">
    <w:abstractNumId w:val="12"/>
  </w:num>
  <w:num w:numId="15" w16cid:durableId="382292228">
    <w:abstractNumId w:val="13"/>
  </w:num>
  <w:num w:numId="16" w16cid:durableId="1481270453">
    <w:abstractNumId w:val="5"/>
  </w:num>
  <w:num w:numId="17" w16cid:durableId="1846089193">
    <w:abstractNumId w:val="8"/>
  </w:num>
  <w:num w:numId="18" w16cid:durableId="2110421879">
    <w:abstractNumId w:val="14"/>
  </w:num>
  <w:num w:numId="19" w16cid:durableId="1999652224">
    <w:abstractNumId w:val="9"/>
  </w:num>
  <w:num w:numId="20" w16cid:durableId="2010205548">
    <w:abstractNumId w:val="17"/>
  </w:num>
  <w:num w:numId="21" w16cid:durableId="341321538">
    <w:abstractNumId w:val="16"/>
  </w:num>
  <w:num w:numId="22" w16cid:durableId="2072338761">
    <w:abstractNumId w:val="15"/>
  </w:num>
  <w:num w:numId="23" w16cid:durableId="1546258907">
    <w:abstractNumId w:val="20"/>
  </w:num>
  <w:num w:numId="24" w16cid:durableId="16464259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219F"/>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07C21"/>
    <w:rsid w:val="00010799"/>
    <w:rsid w:val="000109FD"/>
    <w:rsid w:val="00010C19"/>
    <w:rsid w:val="00010C47"/>
    <w:rsid w:val="0001126A"/>
    <w:rsid w:val="00012A5D"/>
    <w:rsid w:val="000135A1"/>
    <w:rsid w:val="000135AA"/>
    <w:rsid w:val="0001378C"/>
    <w:rsid w:val="00013C4B"/>
    <w:rsid w:val="00014E25"/>
    <w:rsid w:val="000151BC"/>
    <w:rsid w:val="00015790"/>
    <w:rsid w:val="00015D6A"/>
    <w:rsid w:val="000160D7"/>
    <w:rsid w:val="000164B5"/>
    <w:rsid w:val="00016912"/>
    <w:rsid w:val="00016BE4"/>
    <w:rsid w:val="000177E8"/>
    <w:rsid w:val="00017AA2"/>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B67"/>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3749"/>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15"/>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9AE"/>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6FC7"/>
    <w:rsid w:val="001570BF"/>
    <w:rsid w:val="001572E9"/>
    <w:rsid w:val="00157704"/>
    <w:rsid w:val="001577B7"/>
    <w:rsid w:val="00157B71"/>
    <w:rsid w:val="0016232C"/>
    <w:rsid w:val="0016328F"/>
    <w:rsid w:val="0016399C"/>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463"/>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2F3"/>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2F7186"/>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21"/>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5E85"/>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8C8"/>
    <w:rsid w:val="00375AFC"/>
    <w:rsid w:val="00375F79"/>
    <w:rsid w:val="00376536"/>
    <w:rsid w:val="00376BE3"/>
    <w:rsid w:val="00376F4D"/>
    <w:rsid w:val="00377378"/>
    <w:rsid w:val="0037787C"/>
    <w:rsid w:val="003778F6"/>
    <w:rsid w:val="00380709"/>
    <w:rsid w:val="00380FBD"/>
    <w:rsid w:val="003812FC"/>
    <w:rsid w:val="0038131E"/>
    <w:rsid w:val="00382B98"/>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203"/>
    <w:rsid w:val="003A0596"/>
    <w:rsid w:val="003A090D"/>
    <w:rsid w:val="003A2089"/>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0E91"/>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78D"/>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098"/>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1B6A"/>
    <w:rsid w:val="0041213B"/>
    <w:rsid w:val="00413409"/>
    <w:rsid w:val="00413935"/>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27DA5"/>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70A"/>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3243"/>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506D"/>
    <w:rsid w:val="00485292"/>
    <w:rsid w:val="00485458"/>
    <w:rsid w:val="00485612"/>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974"/>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40A"/>
    <w:rsid w:val="00516794"/>
    <w:rsid w:val="005167CD"/>
    <w:rsid w:val="0051697B"/>
    <w:rsid w:val="0052149A"/>
    <w:rsid w:val="005217B9"/>
    <w:rsid w:val="00521817"/>
    <w:rsid w:val="00521D07"/>
    <w:rsid w:val="00521D8A"/>
    <w:rsid w:val="005224C3"/>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B4"/>
    <w:rsid w:val="005630E6"/>
    <w:rsid w:val="00564D1C"/>
    <w:rsid w:val="00565104"/>
    <w:rsid w:val="00565108"/>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1D82"/>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19C3"/>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2C3E"/>
    <w:rsid w:val="00603230"/>
    <w:rsid w:val="00604281"/>
    <w:rsid w:val="006048E2"/>
    <w:rsid w:val="006051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1CE"/>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0F2"/>
    <w:rsid w:val="006A3B31"/>
    <w:rsid w:val="006A3DD3"/>
    <w:rsid w:val="006A5749"/>
    <w:rsid w:val="006A5B50"/>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549"/>
    <w:rsid w:val="006C1E78"/>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11DC"/>
    <w:rsid w:val="0071165F"/>
    <w:rsid w:val="007118E9"/>
    <w:rsid w:val="007118F1"/>
    <w:rsid w:val="00713869"/>
    <w:rsid w:val="007168B2"/>
    <w:rsid w:val="00716AAF"/>
    <w:rsid w:val="00716B43"/>
    <w:rsid w:val="00716F05"/>
    <w:rsid w:val="00717417"/>
    <w:rsid w:val="00717578"/>
    <w:rsid w:val="00720F30"/>
    <w:rsid w:val="007210B3"/>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4F9B"/>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3E92"/>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568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52CD"/>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68E"/>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85B"/>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BC5"/>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53"/>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593"/>
    <w:rsid w:val="00A86AD0"/>
    <w:rsid w:val="00A86CAF"/>
    <w:rsid w:val="00A87059"/>
    <w:rsid w:val="00A876B9"/>
    <w:rsid w:val="00A87E4B"/>
    <w:rsid w:val="00A87E96"/>
    <w:rsid w:val="00A90C13"/>
    <w:rsid w:val="00A919EC"/>
    <w:rsid w:val="00A91BC1"/>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E74"/>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19B"/>
    <w:rsid w:val="00B20B86"/>
    <w:rsid w:val="00B21636"/>
    <w:rsid w:val="00B2183A"/>
    <w:rsid w:val="00B21ACB"/>
    <w:rsid w:val="00B21BD6"/>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BD"/>
    <w:rsid w:val="00B424CC"/>
    <w:rsid w:val="00B44427"/>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6625"/>
    <w:rsid w:val="00B56963"/>
    <w:rsid w:val="00B57165"/>
    <w:rsid w:val="00B572CF"/>
    <w:rsid w:val="00B5757D"/>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2EB5"/>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80A"/>
    <w:rsid w:val="00B92F09"/>
    <w:rsid w:val="00B93510"/>
    <w:rsid w:val="00B93B0C"/>
    <w:rsid w:val="00B94842"/>
    <w:rsid w:val="00B94B5B"/>
    <w:rsid w:val="00B95056"/>
    <w:rsid w:val="00B9678C"/>
    <w:rsid w:val="00B9702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242"/>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55D"/>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562"/>
    <w:rsid w:val="00C967A6"/>
    <w:rsid w:val="00C96C34"/>
    <w:rsid w:val="00C96C48"/>
    <w:rsid w:val="00CA03BF"/>
    <w:rsid w:val="00CA03C8"/>
    <w:rsid w:val="00CA10D9"/>
    <w:rsid w:val="00CA1458"/>
    <w:rsid w:val="00CA31D4"/>
    <w:rsid w:val="00CA35BB"/>
    <w:rsid w:val="00CA37CE"/>
    <w:rsid w:val="00CA3C2B"/>
    <w:rsid w:val="00CA41D6"/>
    <w:rsid w:val="00CA4448"/>
    <w:rsid w:val="00CA4894"/>
    <w:rsid w:val="00CA4DBE"/>
    <w:rsid w:val="00CA5486"/>
    <w:rsid w:val="00CA5597"/>
    <w:rsid w:val="00CA58D9"/>
    <w:rsid w:val="00CA6565"/>
    <w:rsid w:val="00CA67D4"/>
    <w:rsid w:val="00CA722A"/>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2E4"/>
    <w:rsid w:val="00D8068A"/>
    <w:rsid w:val="00D80C53"/>
    <w:rsid w:val="00D81530"/>
    <w:rsid w:val="00D8273B"/>
    <w:rsid w:val="00D828F4"/>
    <w:rsid w:val="00D82EA2"/>
    <w:rsid w:val="00D83478"/>
    <w:rsid w:val="00D83C03"/>
    <w:rsid w:val="00D83C77"/>
    <w:rsid w:val="00D842D4"/>
    <w:rsid w:val="00D84323"/>
    <w:rsid w:val="00D8503F"/>
    <w:rsid w:val="00D85547"/>
    <w:rsid w:val="00D85CD6"/>
    <w:rsid w:val="00D8631F"/>
    <w:rsid w:val="00D86495"/>
    <w:rsid w:val="00D87726"/>
    <w:rsid w:val="00D912C1"/>
    <w:rsid w:val="00D914C8"/>
    <w:rsid w:val="00D91FE3"/>
    <w:rsid w:val="00D944B5"/>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95C"/>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139"/>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517C"/>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441"/>
    <w:rsid w:val="00EC0C0B"/>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B19"/>
    <w:rsid w:val="00F93CDE"/>
    <w:rsid w:val="00F95560"/>
    <w:rsid w:val="00F9563F"/>
    <w:rsid w:val="00F956D1"/>
    <w:rsid w:val="00F95706"/>
    <w:rsid w:val="00F95996"/>
    <w:rsid w:val="00F9638A"/>
    <w:rsid w:val="00F96E49"/>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B47"/>
    <w:rsid w:val="00FB4E0A"/>
    <w:rsid w:val="00FB4E2C"/>
    <w:rsid w:val="00FB5230"/>
    <w:rsid w:val="00FB53E4"/>
    <w:rsid w:val="00FB6457"/>
    <w:rsid w:val="00FB6953"/>
    <w:rsid w:val="00FB749F"/>
    <w:rsid w:val="00FB7DC8"/>
    <w:rsid w:val="00FC2770"/>
    <w:rsid w:val="00FC2A4B"/>
    <w:rsid w:val="00FC3F26"/>
    <w:rsid w:val="00FC5449"/>
    <w:rsid w:val="00FC5D0A"/>
    <w:rsid w:val="00FC64D9"/>
    <w:rsid w:val="00FC660E"/>
    <w:rsid w:val="00FC6EF1"/>
    <w:rsid w:val="00FC7778"/>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sb.org/page/ShowPdf?path=ASU%202025-01.pdf&amp;title=Accounting%20Standards%20Update%202025-01%E2%80%94Income%20Statement%E2%80%94Reporting%20Comprehensive%20Income%E2%80%94Expense%20Disaggre" TargetMode="External"/><Relationship Id="rId18" Type="http://schemas.openxmlformats.org/officeDocument/2006/relationships/hyperlink" Target="https://www.sec.gov/rules-regulations/staff-guidance/staff-accounting-bulletins/staff-accounting-bulletin-122" TargetMode="External"/><Relationship Id="rId26" Type="http://schemas.openxmlformats.org/officeDocument/2006/relationships/hyperlink" Target="http://www.deloitte.com/about" TargetMode="External"/><Relationship Id="rId3" Type="http://schemas.openxmlformats.org/officeDocument/2006/relationships/styles" Target="styles.xml"/><Relationship Id="rId21" Type="http://schemas.openxmlformats.org/officeDocument/2006/relationships/hyperlink" Target="https://dart.deloitte.com/USDART/home/publications/deloitte/heads-up/2025/sec-rescinds-sab-121-issues-sab-122-crypto-cryptocurrency" TargetMode="External"/><Relationship Id="rId7" Type="http://schemas.openxmlformats.org/officeDocument/2006/relationships/endnotes" Target="endnotes.xml"/><Relationship Id="rId12" Type="http://schemas.openxmlformats.org/officeDocument/2006/relationships/hyperlink" Target="https://www.fasb.org/page/ShowPdf?path=ASU%202024-03.pdf&amp;title=ACCOUNTING%20STANDARDS%20UPDATE%202024-03%E2%80%94Income%20Statement%E2%80%94Reporting%20Comprehensive%20Income%E2%80%94Expense%20Disaggre" TargetMode="External"/><Relationship Id="rId17" Type="http://schemas.openxmlformats.org/officeDocument/2006/relationships/hyperlink" Target="https://www.fasb.org/page/ShowPdf?path=ASU%202025-02.pdf&amp;title=Accounting%20Standards%20Update%202025-02%E2%80%94Liabilities%20(405):%20Amendments%20to%20SEC%20Paragraphs%20Pursuant%20to%20SEC" TargetMode="External"/><Relationship Id="rId25" Type="http://schemas.openxmlformats.org/officeDocument/2006/relationships/hyperlink" Target="https://dart.deloitte.com/USDART/home/codification/liabilities/asc405-10-s99" TargetMode="External"/><Relationship Id="rId2" Type="http://schemas.openxmlformats.org/officeDocument/2006/relationships/numbering" Target="numbering.xml"/><Relationship Id="rId16" Type="http://schemas.openxmlformats.org/officeDocument/2006/relationships/hyperlink" Target="https://www.fasb.org/page/ShowPdf?path=ASU%202025-01.pdf&amp;title=Accounting%20Standards%20Update%202025-01%E2%80%94Income%20Statement%E2%80%94Reporting%20Comprehensive%20Income%E2%80%94Expense%20Disaggre" TargetMode="External"/><Relationship Id="rId20" Type="http://schemas.openxmlformats.org/officeDocument/2006/relationships/hyperlink" Target="https://www.fasb.org/page/ShowPdf?path=ASU%202025-02.pdf&amp;title=Accounting%20Standards%20Update%202025-02%E2%80%94Liabilities%20(405):%20Amendments%20to%20SEC%20Paragraphs%20Pursuant%20to%20SE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sb.org/page/ShowPdf?path=ASU%202025-01.pdf&amp;title=Accounting%20Standards%20Update%202025-01%E2%80%94Income%20Statement%E2%80%94Reporting%20Comprehensive%20Income%E2%80%94Expense%20Disaggre" TargetMode="External"/><Relationship Id="rId24" Type="http://schemas.openxmlformats.org/officeDocument/2006/relationships/hyperlink" Target="https://www.fasb.org/page/ShowPdf?path=ASU%202025-02.pdf&amp;title=Accounting%20Standards%20Update%202025-02%E2%80%94Liabilities%20(405):%20Amendments%20to%20SEC%20Paragraphs%20Pursuant%20to%20SEC" TargetMode="External"/><Relationship Id="rId5" Type="http://schemas.openxmlformats.org/officeDocument/2006/relationships/webSettings" Target="webSettings.xml"/><Relationship Id="rId15" Type="http://schemas.openxmlformats.org/officeDocument/2006/relationships/hyperlink" Target="https://www.fasb.org/page/ShowPdf?path=ASU%202024-03.pdf&amp;title=ACCOUNTING%20STANDARDS%20UPDATE%202024-03%E2%80%94Income%20Statement%E2%80%94Reporting%20Comprehensive%20Income%E2%80%94Expense%20Disaggre" TargetMode="External"/><Relationship Id="rId23" Type="http://schemas.openxmlformats.org/officeDocument/2006/relationships/hyperlink" Target="https://dart.deloitte.com/USDART/home/codification/presentation/asc220-40-65" TargetMode="External"/><Relationship Id="rId28" Type="http://schemas.openxmlformats.org/officeDocument/2006/relationships/footer" Target="footer1.xml"/><Relationship Id="rId10" Type="http://schemas.openxmlformats.org/officeDocument/2006/relationships/hyperlink" Target="https://checklist.deloitte.com/" TargetMode="External"/><Relationship Id="rId19" Type="http://schemas.openxmlformats.org/officeDocument/2006/relationships/hyperlink" Target="https://www.sec.gov/rules-regulations/staff-guidance/staff-accounting-bulletins/staff-accounting-bulletin-12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art.deloitte.com/USDART/home/publications/deloitte/heads-up/2024/fasb-issues-final-standard-on-dise" TargetMode="External"/><Relationship Id="rId22" Type="http://schemas.openxmlformats.org/officeDocument/2006/relationships/hyperlink" Target="https://www.fasb.org/page/ShowPdf?path=ASU%202025-01.pdf&amp;title=Accounting%20Standards%20Update%202025-01%E2%80%94Income%20Statement%E2%80%94Reporting%20Comprehensive%20Income%E2%80%94Expense%20Disaggre"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5</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4/11/25</dc:description>
  <cp:lastModifiedBy>Neville Rohr, Maura</cp:lastModifiedBy>
  <cp:revision>7</cp:revision>
  <cp:lastPrinted>2018-03-28T15:21:00Z</cp:lastPrinted>
  <dcterms:created xsi:type="dcterms:W3CDTF">2025-04-09T13:54:00Z</dcterms:created>
  <dcterms:modified xsi:type="dcterms:W3CDTF">2025-04-09T19:08:00Z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