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983BF" w14:textId="2177C62E" w:rsidR="007E233F" w:rsidRPr="00754AAD" w:rsidRDefault="000C4ABF" w:rsidP="00E4728A">
      <w:pPr>
        <w:widowControl/>
        <w:autoSpaceDE/>
        <w:autoSpaceDN/>
        <w:spacing w:before="100" w:beforeAutospacing="1" w:after="100" w:afterAutospacing="1" w:line="240" w:lineRule="auto"/>
        <w:rPr>
          <w:rFonts w:ascii="Aptos" w:hAnsi="Aptos" w:cs="Open Sans"/>
          <w:bCs/>
          <w:sz w:val="64"/>
          <w:szCs w:val="64"/>
        </w:rPr>
      </w:pPr>
      <w:r w:rsidRPr="00754AAD">
        <w:rPr>
          <w:rFonts w:ascii="Aptos" w:eastAsia="Times New Roman" w:hAnsi="Aptos" w:cs="Open Sans"/>
          <w:noProof/>
          <w:sz w:val="24"/>
          <w:szCs w:val="24"/>
        </w:rPr>
        <w:drawing>
          <wp:anchor distT="0" distB="0" distL="114300" distR="114300" simplePos="0" relativeHeight="251674624" behindDoc="0" locked="0" layoutInCell="1" allowOverlap="1" wp14:anchorId="6BD9D30A" wp14:editId="70C0560C">
            <wp:simplePos x="0" y="0"/>
            <wp:positionH relativeFrom="margin">
              <wp:posOffset>409575</wp:posOffset>
            </wp:positionH>
            <wp:positionV relativeFrom="paragraph">
              <wp:posOffset>38100</wp:posOffset>
            </wp:positionV>
            <wp:extent cx="5715000" cy="5715000"/>
            <wp:effectExtent l="0" t="0" r="0" b="0"/>
            <wp:wrapTopAndBottom/>
            <wp:docPr id="1502518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5715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68C3" w:rsidRPr="00754AAD">
        <w:rPr>
          <w:rFonts w:ascii="Aptos" w:hAnsi="Aptos" w:cs="Open Sans"/>
          <w:bCs/>
          <w:noProof/>
          <w:sz w:val="64"/>
          <w:szCs w:val="64"/>
        </w:rPr>
        <w:drawing>
          <wp:anchor distT="0" distB="0" distL="114300" distR="114300" simplePos="0" relativeHeight="251668480" behindDoc="0" locked="1" layoutInCell="1" allowOverlap="1" wp14:anchorId="0C19C85A" wp14:editId="34629725">
            <wp:simplePos x="0" y="0"/>
            <wp:positionH relativeFrom="page">
              <wp:posOffset>666750</wp:posOffset>
            </wp:positionH>
            <wp:positionV relativeFrom="page">
              <wp:posOffset>412750</wp:posOffset>
            </wp:positionV>
            <wp:extent cx="1831975" cy="3454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el_logo proposal cov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1975" cy="345440"/>
                    </a:xfrm>
                    <a:prstGeom prst="rect">
                      <a:avLst/>
                    </a:prstGeom>
                  </pic:spPr>
                </pic:pic>
              </a:graphicData>
            </a:graphic>
            <wp14:sizeRelH relativeFrom="margin">
              <wp14:pctWidth>0</wp14:pctWidth>
            </wp14:sizeRelH>
            <wp14:sizeRelV relativeFrom="margin">
              <wp14:pctHeight>0</wp14:pctHeight>
            </wp14:sizeRelV>
          </wp:anchor>
        </w:drawing>
      </w:r>
      <w:r w:rsidR="007E233F" w:rsidRPr="00754AAD">
        <w:rPr>
          <w:rFonts w:ascii="Aptos" w:hAnsi="Aptos" w:cs="Open Sans"/>
          <w:bCs/>
          <w:sz w:val="64"/>
          <w:szCs w:val="64"/>
        </w:rPr>
        <w:t>Use of This Quarterly Update</w:t>
      </w:r>
    </w:p>
    <w:p w14:paraId="03976307" w14:textId="73F606DE" w:rsidR="00493116" w:rsidRPr="00754AAD" w:rsidRDefault="00493116" w:rsidP="00E4728A">
      <w:pPr>
        <w:pStyle w:val="PGADateSubtitle"/>
        <w:spacing w:line="240" w:lineRule="auto"/>
        <w:rPr>
          <w:rFonts w:ascii="Aptos" w:hAnsi="Aptos" w:cs="Open Sans"/>
          <w:sz w:val="56"/>
          <w:szCs w:val="48"/>
        </w:rPr>
      </w:pPr>
      <w:r w:rsidRPr="00754AAD">
        <w:rPr>
          <w:rFonts w:ascii="Aptos" w:hAnsi="Aptos" w:cs="Open Sans"/>
          <w:sz w:val="56"/>
          <w:szCs w:val="48"/>
        </w:rPr>
        <w:t xml:space="preserve">U.S. GAAP Checklist </w:t>
      </w:r>
      <w:bookmarkStart w:id="0" w:name="_Hlk147404646"/>
      <w:r w:rsidRPr="00754AAD">
        <w:rPr>
          <w:rFonts w:ascii="Aptos" w:hAnsi="Aptos" w:cs="Open Sans"/>
          <w:sz w:val="56"/>
          <w:szCs w:val="48"/>
        </w:rPr>
        <w:t>—</w:t>
      </w:r>
      <w:bookmarkEnd w:id="0"/>
      <w:r w:rsidRPr="00754AAD">
        <w:rPr>
          <w:rFonts w:ascii="Aptos" w:hAnsi="Aptos" w:cs="Open Sans"/>
          <w:sz w:val="56"/>
          <w:szCs w:val="48"/>
        </w:rPr>
        <w:t xml:space="preserve"> </w:t>
      </w:r>
      <w:r w:rsidRPr="00754AAD">
        <w:rPr>
          <w:rFonts w:ascii="Aptos" w:hAnsi="Aptos" w:cs="Open Sans"/>
          <w:sz w:val="56"/>
          <w:szCs w:val="48"/>
        </w:rPr>
        <w:br/>
        <w:t xml:space="preserve">Quarterly Update: </w:t>
      </w:r>
      <w:r w:rsidR="0011685C" w:rsidRPr="00754AAD">
        <w:rPr>
          <w:rFonts w:ascii="Aptos" w:hAnsi="Aptos" w:cs="Open Sans"/>
          <w:sz w:val="56"/>
          <w:szCs w:val="48"/>
        </w:rPr>
        <w:t xml:space="preserve">Second </w:t>
      </w:r>
      <w:r w:rsidRPr="00754AAD">
        <w:rPr>
          <w:rFonts w:ascii="Aptos" w:hAnsi="Aptos" w:cs="Open Sans"/>
          <w:sz w:val="56"/>
          <w:szCs w:val="48"/>
        </w:rPr>
        <w:t>Quarter</w:t>
      </w:r>
    </w:p>
    <w:p w14:paraId="06B2192B" w14:textId="7B3C6EE9" w:rsidR="00493116" w:rsidRPr="00754AAD" w:rsidRDefault="0011685C" w:rsidP="00493116">
      <w:pPr>
        <w:pStyle w:val="PGADateSubtitle"/>
        <w:spacing w:before="360"/>
        <w:rPr>
          <w:rFonts w:ascii="Aptos" w:hAnsi="Aptos" w:cs="Open Sans"/>
          <w:szCs w:val="32"/>
        </w:rPr>
      </w:pPr>
      <w:r w:rsidRPr="00754AAD">
        <w:rPr>
          <w:rFonts w:ascii="Aptos" w:hAnsi="Aptos" w:cs="Open Sans"/>
          <w:szCs w:val="32"/>
        </w:rPr>
        <w:t xml:space="preserve">July </w:t>
      </w:r>
      <w:r w:rsidR="006F5277" w:rsidRPr="00754AAD">
        <w:rPr>
          <w:rFonts w:ascii="Aptos" w:hAnsi="Aptos" w:cs="Open Sans"/>
          <w:szCs w:val="32"/>
        </w:rPr>
        <w:t>202</w:t>
      </w:r>
      <w:r w:rsidR="002F7186" w:rsidRPr="00754AAD">
        <w:rPr>
          <w:rFonts w:ascii="Aptos" w:hAnsi="Aptos" w:cs="Open Sans"/>
          <w:szCs w:val="32"/>
        </w:rPr>
        <w:t>5</w:t>
      </w:r>
    </w:p>
    <w:p w14:paraId="2B9BF781" w14:textId="6E2F3916" w:rsidR="00493116" w:rsidRPr="00754AAD" w:rsidRDefault="00493116" w:rsidP="0039690E">
      <w:pPr>
        <w:spacing w:before="240"/>
        <w:rPr>
          <w:rFonts w:ascii="Aptos" w:eastAsiaTheme="minorHAnsi" w:hAnsi="Aptos" w:cs="Open Sans"/>
        </w:rPr>
      </w:pPr>
      <w:r w:rsidRPr="00754AAD">
        <w:rPr>
          <w:rFonts w:ascii="Aptos" w:eastAsiaTheme="minorHAnsi" w:hAnsi="Aptos" w:cs="Open Sans"/>
        </w:rPr>
        <w:br w:type="page"/>
      </w:r>
    </w:p>
    <w:p w14:paraId="07EFFC26" w14:textId="3D3DCD08" w:rsidR="0035100C" w:rsidRPr="00754AAD" w:rsidRDefault="00094789" w:rsidP="00C72910">
      <w:pPr>
        <w:rPr>
          <w:rFonts w:ascii="Aptos" w:hAnsi="Aptos" w:cs="Open Sans"/>
          <w:color w:val="000000" w:themeColor="text1"/>
        </w:rPr>
      </w:pPr>
      <w:r w:rsidRPr="00754AAD">
        <w:rPr>
          <w:rFonts w:ascii="Aptos" w:eastAsiaTheme="minorHAnsi" w:hAnsi="Aptos" w:cs="Open Sans"/>
        </w:rPr>
        <w:lastRenderedPageBreak/>
        <w:t xml:space="preserve">The </w:t>
      </w:r>
      <w:r w:rsidR="004C23AC" w:rsidRPr="00754AAD">
        <w:rPr>
          <w:rFonts w:ascii="Aptos" w:eastAsiaTheme="minorHAnsi" w:hAnsi="Aptos" w:cs="Open Sans"/>
        </w:rPr>
        <w:t xml:space="preserve">content of the </w:t>
      </w:r>
      <w:r w:rsidRPr="00754AAD">
        <w:rPr>
          <w:rFonts w:ascii="Aptos" w:eastAsiaTheme="minorHAnsi" w:hAnsi="Aptos" w:cs="Open Sans"/>
        </w:rPr>
        <w:t>U.S. GAAP Checklist has been revised to reflect update</w:t>
      </w:r>
      <w:r w:rsidR="004F1F71" w:rsidRPr="00754AAD">
        <w:rPr>
          <w:rFonts w:ascii="Aptos" w:eastAsiaTheme="minorHAnsi" w:hAnsi="Aptos" w:cs="Open Sans"/>
        </w:rPr>
        <w:t>s to</w:t>
      </w:r>
      <w:r w:rsidR="00536F9B" w:rsidRPr="00754AAD">
        <w:rPr>
          <w:rFonts w:ascii="Aptos" w:eastAsiaTheme="minorHAnsi" w:hAnsi="Aptos" w:cs="Open Sans"/>
        </w:rPr>
        <w:t xml:space="preserve"> </w:t>
      </w:r>
      <w:r w:rsidRPr="00754AAD">
        <w:rPr>
          <w:rFonts w:ascii="Aptos" w:eastAsiaTheme="minorHAnsi" w:hAnsi="Aptos" w:cs="Open Sans"/>
        </w:rPr>
        <w:t>professional pronouncements from</w:t>
      </w:r>
      <w:r w:rsidR="0061355B" w:rsidRPr="00754AAD">
        <w:rPr>
          <w:rFonts w:ascii="Aptos" w:eastAsiaTheme="minorHAnsi" w:hAnsi="Aptos" w:cs="Open Sans"/>
        </w:rPr>
        <w:t xml:space="preserve"> </w:t>
      </w:r>
      <w:r w:rsidR="009B4BAE" w:rsidRPr="00754AAD">
        <w:rPr>
          <w:rFonts w:ascii="Aptos" w:eastAsiaTheme="minorHAnsi" w:hAnsi="Aptos" w:cs="Open Sans"/>
        </w:rPr>
        <w:t>April</w:t>
      </w:r>
      <w:r w:rsidR="002F7186" w:rsidRPr="00754AAD">
        <w:rPr>
          <w:rFonts w:ascii="Aptos" w:eastAsiaTheme="minorHAnsi" w:hAnsi="Aptos" w:cs="Open Sans"/>
        </w:rPr>
        <w:t xml:space="preserve"> </w:t>
      </w:r>
      <w:r w:rsidR="00AF3E74" w:rsidRPr="00754AAD">
        <w:rPr>
          <w:rFonts w:ascii="Aptos" w:eastAsiaTheme="minorHAnsi" w:hAnsi="Aptos" w:cs="Open Sans"/>
        </w:rPr>
        <w:t>1</w:t>
      </w:r>
      <w:r w:rsidR="006F5277" w:rsidRPr="00754AAD">
        <w:rPr>
          <w:rFonts w:ascii="Aptos" w:eastAsiaTheme="minorHAnsi" w:hAnsi="Aptos" w:cs="Open Sans"/>
        </w:rPr>
        <w:t>, 202</w:t>
      </w:r>
      <w:r w:rsidR="00D83C77" w:rsidRPr="00754AAD">
        <w:rPr>
          <w:rFonts w:ascii="Aptos" w:eastAsiaTheme="minorHAnsi" w:hAnsi="Aptos" w:cs="Open Sans"/>
        </w:rPr>
        <w:t>5</w:t>
      </w:r>
      <w:r w:rsidR="006F5277" w:rsidRPr="00754AAD">
        <w:rPr>
          <w:rFonts w:ascii="Aptos" w:eastAsiaTheme="minorHAnsi" w:hAnsi="Aptos" w:cs="Open Sans"/>
        </w:rPr>
        <w:t xml:space="preserve">, through </w:t>
      </w:r>
      <w:r w:rsidR="0011685C" w:rsidRPr="00754AAD">
        <w:rPr>
          <w:rFonts w:ascii="Aptos" w:eastAsiaTheme="minorHAnsi" w:hAnsi="Aptos" w:cs="Open Sans"/>
        </w:rPr>
        <w:t xml:space="preserve">June </w:t>
      </w:r>
      <w:r w:rsidR="001A5B7A" w:rsidRPr="00754AAD">
        <w:rPr>
          <w:rFonts w:ascii="Aptos" w:eastAsiaTheme="minorHAnsi" w:hAnsi="Aptos" w:cs="Open Sans"/>
        </w:rPr>
        <w:t>3</w:t>
      </w:r>
      <w:r w:rsidR="0011685C" w:rsidRPr="00754AAD">
        <w:rPr>
          <w:rFonts w:ascii="Aptos" w:eastAsiaTheme="minorHAnsi" w:hAnsi="Aptos" w:cs="Open Sans"/>
        </w:rPr>
        <w:t>0</w:t>
      </w:r>
      <w:r w:rsidR="006F5277" w:rsidRPr="00754AAD">
        <w:rPr>
          <w:rFonts w:ascii="Aptos" w:eastAsiaTheme="minorHAnsi" w:hAnsi="Aptos" w:cs="Open Sans"/>
        </w:rPr>
        <w:t>, 202</w:t>
      </w:r>
      <w:r w:rsidR="00D83C77" w:rsidRPr="00754AAD">
        <w:rPr>
          <w:rFonts w:ascii="Aptos" w:eastAsiaTheme="minorHAnsi" w:hAnsi="Aptos" w:cs="Open Sans"/>
        </w:rPr>
        <w:t>5</w:t>
      </w:r>
      <w:r w:rsidRPr="00754AAD">
        <w:rPr>
          <w:rFonts w:ascii="Aptos" w:eastAsiaTheme="minorHAnsi" w:hAnsi="Aptos" w:cs="Open Sans"/>
        </w:rPr>
        <w:t xml:space="preserve">. </w:t>
      </w:r>
      <w:r w:rsidR="00C612CD" w:rsidRPr="00754AAD">
        <w:rPr>
          <w:rFonts w:ascii="Aptos" w:eastAsiaTheme="minorHAnsi" w:hAnsi="Aptos" w:cs="Open Sans"/>
        </w:rPr>
        <w:t xml:space="preserve">This supplement </w:t>
      </w:r>
      <w:r w:rsidR="00D57D3C" w:rsidRPr="00754AAD">
        <w:rPr>
          <w:rFonts w:ascii="Aptos" w:eastAsiaTheme="minorHAnsi" w:hAnsi="Aptos" w:cs="Open Sans"/>
        </w:rPr>
        <w:t xml:space="preserve">describes </w:t>
      </w:r>
      <w:r w:rsidR="0061355B" w:rsidRPr="00754AAD">
        <w:rPr>
          <w:rFonts w:ascii="Aptos" w:eastAsiaTheme="minorHAnsi" w:hAnsi="Aptos" w:cs="Open Sans"/>
        </w:rPr>
        <w:t xml:space="preserve">the </w:t>
      </w:r>
      <w:r w:rsidRPr="00754AAD">
        <w:rPr>
          <w:rFonts w:ascii="Aptos" w:eastAsiaTheme="minorHAnsi" w:hAnsi="Aptos" w:cs="Open Sans"/>
        </w:rPr>
        <w:t>changes</w:t>
      </w:r>
      <w:r w:rsidR="00C612CD" w:rsidRPr="00754AAD">
        <w:rPr>
          <w:rFonts w:ascii="Aptos" w:eastAsiaTheme="minorHAnsi" w:hAnsi="Aptos" w:cs="Open Sans"/>
        </w:rPr>
        <w:t xml:space="preserve"> to the</w:t>
      </w:r>
      <w:r w:rsidRPr="00754AAD">
        <w:rPr>
          <w:rFonts w:ascii="Aptos" w:eastAsiaTheme="minorHAnsi" w:hAnsi="Aptos" w:cs="Open Sans"/>
        </w:rPr>
        <w:t xml:space="preserve"> FASB Accounting Standards Codification (</w:t>
      </w:r>
      <w:r w:rsidR="00D57D3C" w:rsidRPr="00754AAD">
        <w:rPr>
          <w:rFonts w:ascii="Aptos" w:eastAsiaTheme="minorHAnsi" w:hAnsi="Aptos" w:cs="Open Sans"/>
        </w:rPr>
        <w:t xml:space="preserve">the </w:t>
      </w:r>
      <w:r w:rsidRPr="00754AAD">
        <w:rPr>
          <w:rFonts w:ascii="Aptos" w:eastAsiaTheme="minorHAnsi" w:hAnsi="Aptos" w:cs="Open Sans"/>
        </w:rPr>
        <w:t>“Codification”)</w:t>
      </w:r>
      <w:r w:rsidR="00C612CD" w:rsidRPr="00754AAD">
        <w:rPr>
          <w:rFonts w:ascii="Aptos" w:eastAsiaTheme="minorHAnsi" w:hAnsi="Aptos" w:cs="Open Sans"/>
        </w:rPr>
        <w:t xml:space="preserve"> </w:t>
      </w:r>
      <w:r w:rsidRPr="00754AAD">
        <w:rPr>
          <w:rFonts w:ascii="Aptos" w:eastAsiaTheme="minorHAnsi" w:hAnsi="Aptos" w:cs="Open Sans"/>
        </w:rPr>
        <w:t>issued as Accounting Standards Updates (ASUs)</w:t>
      </w:r>
      <w:r w:rsidR="0061355B" w:rsidRPr="00754AAD">
        <w:rPr>
          <w:rFonts w:ascii="Aptos" w:eastAsiaTheme="minorHAnsi" w:hAnsi="Aptos" w:cs="Open Sans"/>
        </w:rPr>
        <w:t xml:space="preserve"> for the most </w:t>
      </w:r>
      <w:r w:rsidR="000970EA" w:rsidRPr="00754AAD">
        <w:rPr>
          <w:rFonts w:ascii="Aptos" w:eastAsiaTheme="minorHAnsi" w:hAnsi="Aptos" w:cs="Open Sans"/>
        </w:rPr>
        <w:t>r</w:t>
      </w:r>
      <w:r w:rsidR="0061355B" w:rsidRPr="00754AAD">
        <w:rPr>
          <w:rFonts w:ascii="Aptos" w:eastAsiaTheme="minorHAnsi" w:hAnsi="Aptos" w:cs="Open Sans"/>
        </w:rPr>
        <w:t xml:space="preserve">ecent </w:t>
      </w:r>
      <w:r w:rsidR="00590EF2" w:rsidRPr="00754AAD">
        <w:rPr>
          <w:rFonts w:ascii="Aptos" w:eastAsiaTheme="minorHAnsi" w:hAnsi="Aptos" w:cs="Open Sans"/>
        </w:rPr>
        <w:t>quarter</w:t>
      </w:r>
      <w:r w:rsidR="00C45DCF" w:rsidRPr="00754AAD">
        <w:rPr>
          <w:rFonts w:ascii="Aptos" w:eastAsiaTheme="minorHAnsi" w:hAnsi="Aptos" w:cs="Open Sans"/>
        </w:rPr>
        <w:t xml:space="preserve"> ended</w:t>
      </w:r>
      <w:r w:rsidR="001F587B" w:rsidRPr="00754AAD">
        <w:rPr>
          <w:rFonts w:ascii="Aptos" w:eastAsiaTheme="minorHAnsi" w:hAnsi="Aptos" w:cs="Open Sans"/>
        </w:rPr>
        <w:t>.</w:t>
      </w:r>
    </w:p>
    <w:p w14:paraId="1CA8F567" w14:textId="6BAB6B26" w:rsidR="005C729F" w:rsidRPr="00754AAD" w:rsidRDefault="00C72910" w:rsidP="00C72910">
      <w:pPr>
        <w:pStyle w:val="PAH2"/>
        <w:outlineLvl w:val="0"/>
        <w:rPr>
          <w:rFonts w:ascii="Aptos" w:hAnsi="Aptos" w:cs="Open Sans"/>
          <w:b/>
          <w:bCs w:val="0"/>
          <w:i w:val="0"/>
          <w:color w:val="auto"/>
        </w:rPr>
      </w:pPr>
      <w:bookmarkStart w:id="1" w:name="_Hlt407617848"/>
      <w:bookmarkStart w:id="2" w:name="_Hlt407617849"/>
      <w:bookmarkStart w:id="3" w:name="_Hlt399854332"/>
      <w:r w:rsidRPr="00754AAD">
        <w:rPr>
          <w:rFonts w:ascii="Aptos" w:hAnsi="Aptos" w:cs="Open Sans"/>
          <w:b/>
          <w:bCs w:val="0"/>
          <w:i w:val="0"/>
          <w:color w:val="auto"/>
        </w:rPr>
        <w:t>U</w:t>
      </w:r>
      <w:bookmarkEnd w:id="1"/>
      <w:bookmarkEnd w:id="2"/>
      <w:bookmarkEnd w:id="3"/>
      <w:r w:rsidRPr="00754AAD">
        <w:rPr>
          <w:rFonts w:ascii="Aptos" w:hAnsi="Aptos" w:cs="Open Sans"/>
          <w:b/>
          <w:bCs w:val="0"/>
          <w:i w:val="0"/>
          <w:color w:val="auto"/>
        </w:rPr>
        <w:t>PDATING THE U.S. GAAP CHECKLIST</w:t>
      </w:r>
    </w:p>
    <w:p w14:paraId="18DB41B8" w14:textId="4B2F9E4D" w:rsidR="005C729F" w:rsidRPr="00754AAD" w:rsidRDefault="005C729F" w:rsidP="00C72910">
      <w:pPr>
        <w:rPr>
          <w:rStyle w:val="pdocumentul1"/>
          <w:rFonts w:ascii="Aptos" w:hAnsi="Aptos" w:cs="Open Sans"/>
        </w:rPr>
      </w:pPr>
      <w:r w:rsidRPr="00754AAD">
        <w:rPr>
          <w:rFonts w:ascii="Aptos" w:eastAsiaTheme="minorHAnsi" w:hAnsi="Aptos" w:cs="Open Sans"/>
        </w:rPr>
        <w:t xml:space="preserve">Users of the </w:t>
      </w:r>
      <w:r w:rsidR="000F1DC5" w:rsidRPr="00754AAD">
        <w:rPr>
          <w:rFonts w:ascii="Aptos" w:eastAsiaTheme="minorHAnsi" w:hAnsi="Aptos" w:cs="Open Sans"/>
        </w:rPr>
        <w:t>U.S. GAAP Checklist</w:t>
      </w:r>
      <w:r w:rsidRPr="00754AAD">
        <w:rPr>
          <w:rFonts w:ascii="Aptos" w:eastAsiaTheme="minorHAnsi" w:hAnsi="Aptos" w:cs="Open Sans"/>
        </w:rPr>
        <w:t xml:space="preserve"> who initiated a checklist prior to this update</w:t>
      </w:r>
      <w:r w:rsidR="005813DD" w:rsidRPr="00754AAD">
        <w:rPr>
          <w:rFonts w:ascii="Aptos" w:eastAsiaTheme="minorHAnsi" w:hAnsi="Aptos" w:cs="Open Sans"/>
        </w:rPr>
        <w:t xml:space="preserve"> and determine that one or more of the ASUs issued affect the period under audit</w:t>
      </w:r>
      <w:r w:rsidRPr="00754AAD">
        <w:rPr>
          <w:rFonts w:ascii="Aptos" w:eastAsiaTheme="minorHAnsi" w:hAnsi="Aptos" w:cs="Open Sans"/>
        </w:rPr>
        <w:t xml:space="preserve"> will need to do the following:</w:t>
      </w:r>
    </w:p>
    <w:p w14:paraId="2E74E665" w14:textId="77777777" w:rsidR="005C729F" w:rsidRPr="00754AAD" w:rsidRDefault="005C729F" w:rsidP="00C72910">
      <w:pPr>
        <w:numPr>
          <w:ilvl w:val="0"/>
          <w:numId w:val="1"/>
        </w:numPr>
        <w:ind w:left="360"/>
        <w:rPr>
          <w:rStyle w:val="documentlip1"/>
          <w:rFonts w:ascii="Aptos" w:hAnsi="Aptos" w:cs="Open Sans"/>
        </w:rPr>
      </w:pPr>
      <w:r w:rsidRPr="00754AAD">
        <w:rPr>
          <w:rStyle w:val="documentlip1"/>
          <w:rFonts w:ascii="Aptos" w:hAnsi="Aptos" w:cs="Open Sans"/>
        </w:rPr>
        <w:t>Request</w:t>
      </w:r>
      <w:r w:rsidR="0053412C" w:rsidRPr="00754AAD">
        <w:rPr>
          <w:rStyle w:val="documentlip1"/>
          <w:rFonts w:ascii="Aptos" w:hAnsi="Aptos" w:cs="Open Sans"/>
        </w:rPr>
        <w:t xml:space="preserve"> </w:t>
      </w:r>
      <w:r w:rsidRPr="00754AAD">
        <w:rPr>
          <w:rStyle w:val="documentlip1"/>
          <w:rFonts w:ascii="Aptos" w:hAnsi="Aptos" w:cs="Open Sans"/>
        </w:rPr>
        <w:t>the Deloitte engagement team to initiate a new checklist. This new checklist will supplement the previous checklist created.</w:t>
      </w:r>
    </w:p>
    <w:p w14:paraId="55B76D28" w14:textId="0756806D" w:rsidR="005C729F" w:rsidRPr="00754AAD" w:rsidRDefault="005C729F" w:rsidP="00C72910">
      <w:pPr>
        <w:numPr>
          <w:ilvl w:val="0"/>
          <w:numId w:val="1"/>
        </w:numPr>
        <w:ind w:left="360"/>
        <w:rPr>
          <w:rStyle w:val="documentlip1"/>
          <w:rFonts w:ascii="Aptos" w:hAnsi="Aptos" w:cs="Open Sans"/>
        </w:rPr>
      </w:pPr>
      <w:r w:rsidRPr="00754AAD">
        <w:rPr>
          <w:rStyle w:val="documentlip1"/>
          <w:rFonts w:ascii="Aptos" w:hAnsi="Aptos" w:cs="Open Sans"/>
        </w:rPr>
        <w:t xml:space="preserve">Using the list of </w:t>
      </w:r>
      <w:r w:rsidR="00AB69E9" w:rsidRPr="00754AAD">
        <w:rPr>
          <w:rStyle w:val="documentlip1"/>
          <w:rFonts w:ascii="Aptos" w:hAnsi="Aptos" w:cs="Open Sans"/>
        </w:rPr>
        <w:t xml:space="preserve">updated </w:t>
      </w:r>
      <w:r w:rsidRPr="00754AAD">
        <w:rPr>
          <w:rStyle w:val="documentlip1"/>
          <w:rFonts w:ascii="Aptos" w:hAnsi="Aptos" w:cs="Open Sans"/>
        </w:rPr>
        <w:t xml:space="preserve">guidance below, </w:t>
      </w:r>
      <w:r w:rsidR="00920EF7" w:rsidRPr="00754AAD">
        <w:rPr>
          <w:rStyle w:val="documentlip1"/>
          <w:rFonts w:ascii="Aptos" w:hAnsi="Aptos" w:cs="Open Sans"/>
        </w:rPr>
        <w:t xml:space="preserve">frame the checklist to </w:t>
      </w:r>
      <w:r w:rsidR="00CC2294" w:rsidRPr="00754AAD">
        <w:rPr>
          <w:rStyle w:val="documentlip1"/>
          <w:rFonts w:ascii="Aptos" w:hAnsi="Aptos" w:cs="Open Sans"/>
        </w:rPr>
        <w:t xml:space="preserve">include within its </w:t>
      </w:r>
      <w:r w:rsidRPr="00754AAD">
        <w:rPr>
          <w:rStyle w:val="documentlip1"/>
          <w:rFonts w:ascii="Aptos" w:hAnsi="Aptos" w:cs="Open Sans"/>
        </w:rPr>
        <w:t>scope</w:t>
      </w:r>
      <w:r w:rsidR="008250C0" w:rsidRPr="00754AAD">
        <w:rPr>
          <w:rStyle w:val="documentlip1"/>
          <w:rFonts w:ascii="Aptos" w:hAnsi="Aptos" w:cs="Open Sans"/>
          <w:szCs w:val="22"/>
          <w:vertAlign w:val="superscript"/>
        </w:rPr>
        <w:footnoteReference w:id="2"/>
      </w:r>
      <w:r w:rsidRPr="00754AAD">
        <w:rPr>
          <w:rStyle w:val="documentlip1"/>
          <w:rFonts w:ascii="Aptos" w:hAnsi="Aptos" w:cs="Open Sans"/>
          <w:szCs w:val="22"/>
          <w:vertAlign w:val="superscript"/>
        </w:rPr>
        <w:t xml:space="preserve"> </w:t>
      </w:r>
      <w:r w:rsidRPr="00754AAD">
        <w:rPr>
          <w:rStyle w:val="documentlip1"/>
          <w:rFonts w:ascii="Aptos" w:hAnsi="Aptos" w:cs="Open Sans"/>
        </w:rPr>
        <w:t xml:space="preserve">only the applicable </w:t>
      </w:r>
      <w:r w:rsidR="00AB69E9" w:rsidRPr="00754AAD">
        <w:rPr>
          <w:rStyle w:val="documentlip1"/>
          <w:rFonts w:ascii="Aptos" w:hAnsi="Aptos" w:cs="Open Sans"/>
        </w:rPr>
        <w:t xml:space="preserve">updated </w:t>
      </w:r>
      <w:r w:rsidRPr="00754AAD">
        <w:rPr>
          <w:rStyle w:val="documentlip1"/>
          <w:rFonts w:ascii="Aptos" w:hAnsi="Aptos" w:cs="Open Sans"/>
        </w:rPr>
        <w:t xml:space="preserve">guidance. To determine whether the guidance applies, users may view the </w:t>
      </w:r>
      <w:r w:rsidR="00A94FCF" w:rsidRPr="00754AAD">
        <w:rPr>
          <w:rStyle w:val="documentlip1"/>
          <w:rFonts w:ascii="Aptos" w:hAnsi="Aptos" w:cs="Open Sans"/>
        </w:rPr>
        <w:t xml:space="preserve">updated </w:t>
      </w:r>
      <w:r w:rsidRPr="00754AAD">
        <w:rPr>
          <w:rStyle w:val="documentlip1"/>
          <w:rFonts w:ascii="Aptos" w:hAnsi="Aptos" w:cs="Open Sans"/>
        </w:rPr>
        <w:t xml:space="preserve">guidance in the checklist by expanding the Codification tree to the Subsection level and clicking on the Subsection title (usually “General”). The </w:t>
      </w:r>
      <w:r w:rsidR="00A94FCF" w:rsidRPr="00754AAD">
        <w:rPr>
          <w:rStyle w:val="documentlip1"/>
          <w:rFonts w:ascii="Aptos" w:hAnsi="Aptos" w:cs="Open Sans"/>
        </w:rPr>
        <w:t xml:space="preserve">updated </w:t>
      </w:r>
      <w:r w:rsidRPr="00754AAD">
        <w:rPr>
          <w:rStyle w:val="documentlip1"/>
          <w:rFonts w:ascii="Aptos" w:hAnsi="Aptos" w:cs="Open Sans"/>
        </w:rPr>
        <w:t xml:space="preserve">guidance </w:t>
      </w:r>
      <w:r w:rsidR="00FA5194" w:rsidRPr="00754AAD">
        <w:rPr>
          <w:rStyle w:val="documentlip1"/>
          <w:rFonts w:ascii="Aptos" w:hAnsi="Aptos" w:cs="Open Sans"/>
        </w:rPr>
        <w:t>may not</w:t>
      </w:r>
      <w:r w:rsidRPr="00754AAD">
        <w:rPr>
          <w:rStyle w:val="documentlip1"/>
          <w:rFonts w:ascii="Aptos" w:hAnsi="Aptos" w:cs="Open Sans"/>
        </w:rPr>
        <w:t xml:space="preserve"> appear as “</w:t>
      </w:r>
      <w:r w:rsidR="00CE15E5" w:rsidRPr="00754AAD">
        <w:rPr>
          <w:rStyle w:val="documentlip1"/>
          <w:rFonts w:ascii="Aptos" w:hAnsi="Aptos" w:cs="Open Sans"/>
        </w:rPr>
        <w:t>p</w:t>
      </w:r>
      <w:r w:rsidRPr="00754AAD">
        <w:rPr>
          <w:rStyle w:val="documentlip1"/>
          <w:rFonts w:ascii="Aptos" w:hAnsi="Aptos" w:cs="Open Sans"/>
        </w:rPr>
        <w:t xml:space="preserve">ending </w:t>
      </w:r>
      <w:r w:rsidR="00CE15E5" w:rsidRPr="00754AAD">
        <w:rPr>
          <w:rStyle w:val="documentlip1"/>
          <w:rFonts w:ascii="Aptos" w:hAnsi="Aptos" w:cs="Open Sans"/>
        </w:rPr>
        <w:t>c</w:t>
      </w:r>
      <w:r w:rsidRPr="00754AAD">
        <w:rPr>
          <w:rStyle w:val="documentlip1"/>
          <w:rFonts w:ascii="Aptos" w:hAnsi="Aptos" w:cs="Open Sans"/>
        </w:rPr>
        <w:t>ontent” in the Codification</w:t>
      </w:r>
      <w:r w:rsidR="00FA5194" w:rsidRPr="00754AAD">
        <w:rPr>
          <w:rStyle w:val="documentlip1"/>
          <w:rFonts w:ascii="Aptos" w:hAnsi="Aptos" w:cs="Open Sans"/>
        </w:rPr>
        <w:t xml:space="preserve"> due to maintenance within the GAAP Checklist tool</w:t>
      </w:r>
      <w:r w:rsidRPr="00754AAD">
        <w:rPr>
          <w:rStyle w:val="documentlip1"/>
          <w:rFonts w:ascii="Aptos" w:hAnsi="Aptos" w:cs="Open Sans"/>
        </w:rPr>
        <w:t xml:space="preserve">. </w:t>
      </w:r>
      <w:r w:rsidR="00FA5194" w:rsidRPr="00754AAD">
        <w:rPr>
          <w:rStyle w:val="documentlip1"/>
          <w:rFonts w:ascii="Aptos" w:hAnsi="Aptos" w:cs="Open Sans"/>
        </w:rPr>
        <w:t>However, t</w:t>
      </w:r>
      <w:r w:rsidRPr="00754AAD">
        <w:rPr>
          <w:rStyle w:val="documentlip1"/>
          <w:rFonts w:ascii="Aptos" w:hAnsi="Aptos" w:cs="Open Sans"/>
        </w:rPr>
        <w:t xml:space="preserve">ransition guidance </w:t>
      </w:r>
      <w:r w:rsidR="00FA5194" w:rsidRPr="00754AAD">
        <w:rPr>
          <w:rStyle w:val="documentlip1"/>
          <w:rFonts w:ascii="Aptos" w:hAnsi="Aptos" w:cs="Open Sans"/>
        </w:rPr>
        <w:t xml:space="preserve">would be </w:t>
      </w:r>
      <w:r w:rsidRPr="00754AAD">
        <w:rPr>
          <w:rStyle w:val="documentlip1"/>
          <w:rFonts w:ascii="Aptos" w:hAnsi="Aptos" w:cs="Open Sans"/>
        </w:rPr>
        <w:t xml:space="preserve">linked to </w:t>
      </w:r>
      <w:r w:rsidR="00CE15E5" w:rsidRPr="00754AAD">
        <w:rPr>
          <w:rStyle w:val="documentlip1"/>
          <w:rFonts w:ascii="Aptos" w:hAnsi="Aptos" w:cs="Open Sans"/>
        </w:rPr>
        <w:t>p</w:t>
      </w:r>
      <w:r w:rsidRPr="00754AAD">
        <w:rPr>
          <w:rStyle w:val="documentlip1"/>
          <w:rFonts w:ascii="Aptos" w:hAnsi="Aptos" w:cs="Open Sans"/>
        </w:rPr>
        <w:t xml:space="preserve">ending </w:t>
      </w:r>
      <w:r w:rsidR="00CE15E5" w:rsidRPr="00754AAD">
        <w:rPr>
          <w:rStyle w:val="documentlip1"/>
          <w:rFonts w:ascii="Aptos" w:hAnsi="Aptos" w:cs="Open Sans"/>
        </w:rPr>
        <w:t>c</w:t>
      </w:r>
      <w:r w:rsidRPr="00754AAD">
        <w:rPr>
          <w:rStyle w:val="documentlip1"/>
          <w:rFonts w:ascii="Aptos" w:hAnsi="Aptos" w:cs="Open Sans"/>
        </w:rPr>
        <w:t>ontent paragraphs</w:t>
      </w:r>
      <w:r w:rsidR="00FA5194" w:rsidRPr="00754AAD">
        <w:rPr>
          <w:rStyle w:val="documentlip1"/>
          <w:rFonts w:ascii="Aptos" w:hAnsi="Aptos" w:cs="Open Sans"/>
        </w:rPr>
        <w:t xml:space="preserve"> and is available in Section 65 of each respective ASC Topic</w:t>
      </w:r>
      <w:r w:rsidR="00264CC4" w:rsidRPr="00754AAD">
        <w:rPr>
          <w:rStyle w:val="documentlip1"/>
          <w:rFonts w:ascii="Aptos" w:hAnsi="Aptos" w:cs="Open Sans"/>
        </w:rPr>
        <w:t>.</w:t>
      </w:r>
      <w:r w:rsidR="003861EE" w:rsidRPr="00754AAD">
        <w:rPr>
          <w:rStyle w:val="documentlip1"/>
          <w:rFonts w:ascii="Aptos" w:hAnsi="Aptos" w:cs="Open Sans"/>
        </w:rPr>
        <w:t xml:space="preserve"> Section 15 of </w:t>
      </w:r>
      <w:r w:rsidR="00293EA9" w:rsidRPr="00754AAD">
        <w:rPr>
          <w:rStyle w:val="documentlip1"/>
          <w:rFonts w:ascii="Aptos" w:hAnsi="Aptos" w:cs="Open Sans"/>
        </w:rPr>
        <w:t xml:space="preserve">each respective ASC Topic within </w:t>
      </w:r>
      <w:r w:rsidR="003861EE" w:rsidRPr="00754AAD">
        <w:rPr>
          <w:rStyle w:val="documentlip1"/>
          <w:rFonts w:ascii="Aptos" w:hAnsi="Aptos" w:cs="Open Sans"/>
        </w:rPr>
        <w:t xml:space="preserve">the </w:t>
      </w:r>
      <w:r w:rsidR="004F1F71" w:rsidRPr="00754AAD">
        <w:rPr>
          <w:rStyle w:val="documentlip1"/>
          <w:rFonts w:ascii="Aptos" w:hAnsi="Aptos" w:cs="Open Sans"/>
        </w:rPr>
        <w:t>C</w:t>
      </w:r>
      <w:r w:rsidR="003861EE" w:rsidRPr="00754AAD">
        <w:rPr>
          <w:rStyle w:val="documentlip1"/>
          <w:rFonts w:ascii="Aptos" w:hAnsi="Aptos" w:cs="Open Sans"/>
        </w:rPr>
        <w:t xml:space="preserve">odification can be viewed to determine </w:t>
      </w:r>
      <w:r w:rsidR="00CC2294" w:rsidRPr="00754AAD">
        <w:rPr>
          <w:rStyle w:val="documentlip1"/>
          <w:rFonts w:ascii="Aptos" w:hAnsi="Aptos" w:cs="Open Sans"/>
        </w:rPr>
        <w:t xml:space="preserve">whether </w:t>
      </w:r>
      <w:r w:rsidR="003861EE" w:rsidRPr="00754AAD">
        <w:rPr>
          <w:rStyle w:val="documentlip1"/>
          <w:rFonts w:ascii="Aptos" w:hAnsi="Aptos" w:cs="Open Sans"/>
        </w:rPr>
        <w:t xml:space="preserve">the </w:t>
      </w:r>
      <w:r w:rsidR="0053412C" w:rsidRPr="00754AAD">
        <w:rPr>
          <w:rStyle w:val="documentlip1"/>
          <w:rFonts w:ascii="Aptos" w:hAnsi="Aptos" w:cs="Open Sans"/>
        </w:rPr>
        <w:t xml:space="preserve">guidance applies to the entity. </w:t>
      </w:r>
      <w:r w:rsidR="005D499F" w:rsidRPr="00754AAD">
        <w:rPr>
          <w:rStyle w:val="documentlip1"/>
          <w:rFonts w:ascii="Aptos" w:hAnsi="Aptos" w:cs="Open Sans"/>
        </w:rPr>
        <w:t xml:space="preserve">The preparer may also consider </w:t>
      </w:r>
      <w:r w:rsidR="00E94996" w:rsidRPr="00754AAD">
        <w:rPr>
          <w:rStyle w:val="documentlip1"/>
          <w:rFonts w:ascii="Aptos" w:hAnsi="Aptos" w:cs="Open Sans"/>
        </w:rPr>
        <w:t>S</w:t>
      </w:r>
      <w:r w:rsidR="005D499F" w:rsidRPr="00754AAD">
        <w:rPr>
          <w:rStyle w:val="documentlip1"/>
          <w:rFonts w:ascii="Aptos" w:hAnsi="Aptos" w:cs="Open Sans"/>
        </w:rPr>
        <w:t>ection 55</w:t>
      </w:r>
      <w:r w:rsidR="00A105AC" w:rsidRPr="00754AAD">
        <w:rPr>
          <w:rStyle w:val="documentlip1"/>
          <w:rFonts w:ascii="Aptos" w:hAnsi="Aptos" w:cs="Open Sans"/>
        </w:rPr>
        <w:t xml:space="preserve"> </w:t>
      </w:r>
      <w:r w:rsidR="004F1F71" w:rsidRPr="00754AAD">
        <w:rPr>
          <w:rStyle w:val="documentlip1"/>
          <w:rFonts w:ascii="Aptos" w:hAnsi="Aptos" w:cs="Open Sans"/>
        </w:rPr>
        <w:t xml:space="preserve">of </w:t>
      </w:r>
      <w:r w:rsidR="00293EA9" w:rsidRPr="00754AAD">
        <w:rPr>
          <w:rStyle w:val="documentlip1"/>
          <w:rFonts w:ascii="Aptos" w:hAnsi="Aptos" w:cs="Open Sans"/>
        </w:rPr>
        <w:t xml:space="preserve">each respective ASC Topic within </w:t>
      </w:r>
      <w:r w:rsidR="004F1F71" w:rsidRPr="00754AAD">
        <w:rPr>
          <w:rStyle w:val="documentlip1"/>
          <w:rFonts w:ascii="Aptos" w:hAnsi="Aptos" w:cs="Open Sans"/>
        </w:rPr>
        <w:t xml:space="preserve">the Codification </w:t>
      </w:r>
      <w:r w:rsidR="00A105AC" w:rsidRPr="00754AAD">
        <w:rPr>
          <w:rStyle w:val="documentlip1"/>
          <w:rFonts w:ascii="Aptos" w:hAnsi="Aptos" w:cs="Open Sans"/>
        </w:rPr>
        <w:t>for implementation guidance and illustrations.</w:t>
      </w:r>
    </w:p>
    <w:p w14:paraId="7C40C4D5" w14:textId="0C33CF43" w:rsidR="00405A9C" w:rsidRPr="00754AAD" w:rsidRDefault="005C729F" w:rsidP="00C72910">
      <w:pPr>
        <w:rPr>
          <w:rStyle w:val="pdocumentul1"/>
          <w:rFonts w:ascii="Aptos" w:hAnsi="Aptos" w:cs="Open Sans"/>
        </w:rPr>
      </w:pPr>
      <w:r w:rsidRPr="00754AAD">
        <w:rPr>
          <w:rStyle w:val="pdocumentul1"/>
          <w:rFonts w:ascii="Aptos" w:hAnsi="Aptos" w:cs="Open Sans"/>
        </w:rPr>
        <w:t xml:space="preserve">Once the </w:t>
      </w:r>
      <w:r w:rsidR="002316CC" w:rsidRPr="00754AAD">
        <w:rPr>
          <w:rStyle w:val="pdocumentul1"/>
          <w:rFonts w:ascii="Aptos" w:hAnsi="Aptos" w:cs="Open Sans"/>
        </w:rPr>
        <w:t xml:space="preserve">initiation and </w:t>
      </w:r>
      <w:r w:rsidR="00920EF7" w:rsidRPr="00754AAD">
        <w:rPr>
          <w:rStyle w:val="pdocumentul1"/>
          <w:rFonts w:ascii="Aptos" w:hAnsi="Aptos" w:cs="Open Sans"/>
        </w:rPr>
        <w:t xml:space="preserve">framing </w:t>
      </w:r>
      <w:r w:rsidR="00A06591" w:rsidRPr="00754AAD">
        <w:rPr>
          <w:rStyle w:val="pdocumentul1"/>
          <w:rFonts w:ascii="Aptos" w:hAnsi="Aptos" w:cs="Open Sans"/>
        </w:rPr>
        <w:t>are</w:t>
      </w:r>
      <w:r w:rsidRPr="00754AAD">
        <w:rPr>
          <w:rStyle w:val="pdocumentul1"/>
          <w:rFonts w:ascii="Aptos" w:hAnsi="Aptos" w:cs="Open Sans"/>
        </w:rPr>
        <w:t xml:space="preserve"> complete, </w:t>
      </w:r>
      <w:r w:rsidR="000F1DC5" w:rsidRPr="00754AAD">
        <w:rPr>
          <w:rStyle w:val="pdocumentul1"/>
          <w:rFonts w:ascii="Aptos" w:hAnsi="Aptos" w:cs="Open Sans"/>
        </w:rPr>
        <w:t>the</w:t>
      </w:r>
      <w:r w:rsidRPr="00754AAD">
        <w:rPr>
          <w:rStyle w:val="pdocumentul1"/>
          <w:rFonts w:ascii="Aptos" w:hAnsi="Aptos" w:cs="Open Sans"/>
        </w:rPr>
        <w:t xml:space="preserve"> new </w:t>
      </w:r>
      <w:r w:rsidR="002316CC" w:rsidRPr="00754AAD">
        <w:rPr>
          <w:rStyle w:val="pdocumentul1"/>
          <w:rFonts w:ascii="Aptos" w:hAnsi="Aptos" w:cs="Open Sans"/>
        </w:rPr>
        <w:t xml:space="preserve">supplemental </w:t>
      </w:r>
      <w:r w:rsidRPr="00754AAD">
        <w:rPr>
          <w:rStyle w:val="pdocumentul1"/>
          <w:rFonts w:ascii="Aptos" w:hAnsi="Aptos" w:cs="Open Sans"/>
        </w:rPr>
        <w:t xml:space="preserve">checklist will include </w:t>
      </w:r>
      <w:r w:rsidR="00A94FCF" w:rsidRPr="00754AAD">
        <w:rPr>
          <w:rStyle w:val="pdocumentul1"/>
          <w:rFonts w:ascii="Aptos" w:hAnsi="Aptos" w:cs="Open Sans"/>
        </w:rPr>
        <w:t xml:space="preserve">only </w:t>
      </w:r>
      <w:r w:rsidRPr="00754AAD">
        <w:rPr>
          <w:rStyle w:val="pdocumentul1"/>
          <w:rFonts w:ascii="Aptos" w:hAnsi="Aptos" w:cs="Open Sans"/>
        </w:rPr>
        <w:t>questions related to the</w:t>
      </w:r>
      <w:r w:rsidR="00BE7766" w:rsidRPr="00754AAD">
        <w:rPr>
          <w:rStyle w:val="pdocumentul1"/>
          <w:rFonts w:ascii="Aptos" w:hAnsi="Aptos" w:cs="Open Sans"/>
        </w:rPr>
        <w:t xml:space="preserve"> updated</w:t>
      </w:r>
      <w:r w:rsidRPr="00754AAD">
        <w:rPr>
          <w:rStyle w:val="pdocumentul1"/>
          <w:rFonts w:ascii="Aptos" w:hAnsi="Aptos" w:cs="Open Sans"/>
        </w:rPr>
        <w:t xml:space="preserve"> guidance that was</w:t>
      </w:r>
      <w:r w:rsidR="00CC2294" w:rsidRPr="00754AAD">
        <w:rPr>
          <w:rStyle w:val="pdocumentul1"/>
          <w:rFonts w:ascii="Aptos" w:hAnsi="Aptos" w:cs="Open Sans"/>
        </w:rPr>
        <w:t xml:space="preserve"> included within the</w:t>
      </w:r>
      <w:r w:rsidRPr="00754AAD">
        <w:rPr>
          <w:rStyle w:val="pdocumentul1"/>
          <w:rFonts w:ascii="Aptos" w:hAnsi="Aptos" w:cs="Open Sans"/>
        </w:rPr>
        <w:t xml:space="preserve"> scope</w:t>
      </w:r>
      <w:r w:rsidR="00CC2294" w:rsidRPr="00754AAD">
        <w:rPr>
          <w:rStyle w:val="pdocumentul1"/>
          <w:rFonts w:ascii="Aptos" w:hAnsi="Aptos" w:cs="Open Sans"/>
        </w:rPr>
        <w:t xml:space="preserve"> of</w:t>
      </w:r>
      <w:r w:rsidRPr="00754AAD">
        <w:rPr>
          <w:rStyle w:val="pdocumentul1"/>
          <w:rFonts w:ascii="Aptos" w:hAnsi="Aptos" w:cs="Open Sans"/>
        </w:rPr>
        <w:t xml:space="preserve"> that checklist.</w:t>
      </w:r>
      <w:r w:rsidR="00900BC5" w:rsidRPr="00754AAD">
        <w:rPr>
          <w:rStyle w:val="pdocumentul1"/>
          <w:rFonts w:ascii="Aptos" w:hAnsi="Aptos" w:cs="Open Sans"/>
        </w:rPr>
        <w:t xml:space="preserve"> </w:t>
      </w:r>
      <w:r w:rsidR="000160D7" w:rsidRPr="00754AAD">
        <w:rPr>
          <w:rStyle w:val="pdocumentul1"/>
          <w:rFonts w:ascii="Aptos" w:hAnsi="Aptos" w:cs="Open Sans"/>
        </w:rPr>
        <w:t>For users of the U.S. GAAP Checklist that have yet to initiate a checklist prior to this update,</w:t>
      </w:r>
      <w:r w:rsidR="001F58F2" w:rsidRPr="00754AAD">
        <w:rPr>
          <w:rStyle w:val="pdocumentul1"/>
          <w:rFonts w:ascii="Aptos" w:hAnsi="Aptos" w:cs="Open Sans"/>
        </w:rPr>
        <w:t xml:space="preserve"> the update to the Codification will be automatically incorporate</w:t>
      </w:r>
      <w:r w:rsidR="001562DA" w:rsidRPr="00754AAD">
        <w:rPr>
          <w:rStyle w:val="pdocumentul1"/>
          <w:rFonts w:ascii="Aptos" w:hAnsi="Aptos" w:cs="Open Sans"/>
        </w:rPr>
        <w:t>d</w:t>
      </w:r>
      <w:r w:rsidR="001F58F2" w:rsidRPr="00754AAD">
        <w:rPr>
          <w:rStyle w:val="pdocumentul1"/>
          <w:rFonts w:ascii="Aptos" w:hAnsi="Aptos" w:cs="Open Sans"/>
        </w:rPr>
        <w:t xml:space="preserve"> into the newly initiated checklist.</w:t>
      </w:r>
    </w:p>
    <w:p w14:paraId="7BA6DC41" w14:textId="153E9F1E" w:rsidR="0029581F" w:rsidRPr="00754AAD" w:rsidRDefault="00405A9C" w:rsidP="009E1BE6">
      <w:pPr>
        <w:rPr>
          <w:rFonts w:ascii="Aptos" w:hAnsi="Aptos" w:cs="Open Sans"/>
        </w:rPr>
      </w:pPr>
      <w:r w:rsidRPr="00754AAD">
        <w:rPr>
          <w:rStyle w:val="pdocumentul1"/>
          <w:rFonts w:ascii="Aptos" w:hAnsi="Aptos" w:cs="Open Sans"/>
        </w:rPr>
        <w:t xml:space="preserve">See the </w:t>
      </w:r>
      <w:hyperlink r:id="rId10" w:history="1">
        <w:r w:rsidRPr="00754AAD">
          <w:rPr>
            <w:rStyle w:val="Hyperlink"/>
            <w:rFonts w:ascii="Aptos" w:eastAsia="Verdana" w:hAnsi="Aptos" w:cs="Open Sans"/>
          </w:rPr>
          <w:t>Quick Reference Guide</w:t>
        </w:r>
      </w:hyperlink>
      <w:r w:rsidRPr="00754AAD">
        <w:rPr>
          <w:rStyle w:val="pdocumentul1"/>
          <w:rFonts w:ascii="Aptos" w:hAnsi="Aptos" w:cs="Open Sans"/>
        </w:rPr>
        <w:t xml:space="preserve"> for guidance on the Checklist offered through </w:t>
      </w:r>
      <w:r w:rsidR="00D21A76" w:rsidRPr="00754AAD">
        <w:rPr>
          <w:rStyle w:val="pdocumentul1"/>
          <w:rFonts w:ascii="Aptos" w:hAnsi="Aptos" w:cs="Open Sans"/>
        </w:rPr>
        <w:t xml:space="preserve">the </w:t>
      </w:r>
      <w:r w:rsidRPr="00754AAD">
        <w:rPr>
          <w:rStyle w:val="pdocumentul1"/>
          <w:rFonts w:ascii="Aptos" w:hAnsi="Aptos" w:cs="Open Sans"/>
        </w:rPr>
        <w:t>Disclosure Analytics</w:t>
      </w:r>
      <w:r w:rsidR="00D21A76" w:rsidRPr="00754AAD">
        <w:rPr>
          <w:rStyle w:val="pdocumentul1"/>
          <w:rFonts w:ascii="Aptos" w:hAnsi="Aptos" w:cs="Open Sans"/>
        </w:rPr>
        <w:t xml:space="preserve"> suite</w:t>
      </w:r>
      <w:r w:rsidRPr="00754AAD">
        <w:rPr>
          <w:rStyle w:val="pdocumentul1"/>
          <w:rFonts w:ascii="Aptos" w:hAnsi="Aptos" w:cs="Open Sans"/>
        </w:rPr>
        <w:t>.</w:t>
      </w:r>
    </w:p>
    <w:p w14:paraId="4BDC9484" w14:textId="3E642A65" w:rsidR="00CF2715" w:rsidRPr="00754AAD" w:rsidRDefault="00C72910" w:rsidP="00C72910">
      <w:pPr>
        <w:pStyle w:val="PAH2"/>
        <w:outlineLvl w:val="0"/>
        <w:rPr>
          <w:rFonts w:ascii="Aptos" w:hAnsi="Aptos" w:cs="Open Sans"/>
          <w:b/>
          <w:bCs w:val="0"/>
          <w:i w:val="0"/>
          <w:color w:val="auto"/>
        </w:rPr>
      </w:pPr>
      <w:r w:rsidRPr="00754AAD">
        <w:rPr>
          <w:rFonts w:ascii="Aptos" w:hAnsi="Aptos" w:cs="Open Sans"/>
          <w:b/>
          <w:bCs w:val="0"/>
          <w:i w:val="0"/>
          <w:color w:val="auto"/>
        </w:rPr>
        <w:t>ACCOUNTING GUIDANCE ISSUED DURING THE QUARTER</w:t>
      </w:r>
    </w:p>
    <w:p w14:paraId="0DDF4C02" w14:textId="31D51B0B" w:rsidR="00FA5194" w:rsidRPr="00754AAD" w:rsidRDefault="00FA5194" w:rsidP="00C72910">
      <w:pPr>
        <w:rPr>
          <w:rStyle w:val="documentlip1"/>
          <w:rFonts w:ascii="Aptos" w:hAnsi="Aptos" w:cs="Open Sans"/>
          <w:color w:val="auto"/>
          <w:szCs w:val="22"/>
        </w:rPr>
      </w:pPr>
      <w:r w:rsidRPr="00754AAD">
        <w:rPr>
          <w:rFonts w:ascii="Aptos" w:eastAsiaTheme="minorHAnsi" w:hAnsi="Aptos" w:cs="Open Sans"/>
        </w:rPr>
        <w:t>When the FASB amends the Codification with an ASU, each paragraph that was amended by the ASU is left unchanged (for entities that have not adopted the ASU) but is followed by a paragraph containing “pending content.” Upon adoption of an ASU, entities need to complete</w:t>
      </w:r>
      <w:r w:rsidRPr="00754AAD">
        <w:rPr>
          <w:rFonts w:ascii="Aptos" w:hAnsi="Aptos" w:cs="Open Sans"/>
        </w:rPr>
        <w:t xml:space="preserve"> the amended subtopic using the pending content for each paragraph that has been adopted. Pending content related to the ASUs issued this quarter, however, is not included in the checklist. When this is resolved, a message will be displayed on opening the GAAP Checklist application.</w:t>
      </w:r>
    </w:p>
    <w:p w14:paraId="69F5E6F3" w14:textId="6A57C58F" w:rsidR="00021275" w:rsidRPr="00754AAD" w:rsidRDefault="009C1C36" w:rsidP="00984AC0">
      <w:pPr>
        <w:keepLines/>
        <w:rPr>
          <w:rStyle w:val="documentlip1"/>
          <w:rFonts w:ascii="Aptos" w:hAnsi="Aptos" w:cs="Open Sans"/>
          <w:szCs w:val="22"/>
        </w:rPr>
      </w:pPr>
      <w:r w:rsidRPr="00754AAD">
        <w:rPr>
          <w:rStyle w:val="documentlip1"/>
          <w:rFonts w:ascii="Aptos" w:hAnsi="Aptos" w:cs="Open Sans"/>
          <w:szCs w:val="22"/>
        </w:rPr>
        <w:lastRenderedPageBreak/>
        <w:t xml:space="preserve">Two </w:t>
      </w:r>
      <w:r w:rsidR="00F711AC" w:rsidRPr="00754AAD">
        <w:rPr>
          <w:rStyle w:val="documentlip1"/>
          <w:rFonts w:ascii="Aptos" w:hAnsi="Aptos" w:cs="Open Sans"/>
          <w:szCs w:val="22"/>
        </w:rPr>
        <w:t>ASU</w:t>
      </w:r>
      <w:r w:rsidRPr="00754AAD">
        <w:rPr>
          <w:rStyle w:val="documentlip1"/>
          <w:rFonts w:ascii="Aptos" w:hAnsi="Aptos" w:cs="Open Sans"/>
          <w:szCs w:val="22"/>
        </w:rPr>
        <w:t>s</w:t>
      </w:r>
      <w:r w:rsidR="00AF3E74" w:rsidRPr="00754AAD">
        <w:rPr>
          <w:rStyle w:val="documentlip1"/>
          <w:rFonts w:ascii="Aptos" w:hAnsi="Aptos" w:cs="Open Sans"/>
          <w:szCs w:val="22"/>
        </w:rPr>
        <w:t xml:space="preserve"> </w:t>
      </w:r>
      <w:r w:rsidR="006761CE" w:rsidRPr="00754AAD">
        <w:rPr>
          <w:rStyle w:val="documentlip1"/>
          <w:rFonts w:ascii="Aptos" w:hAnsi="Aptos" w:cs="Open Sans"/>
          <w:szCs w:val="22"/>
        </w:rPr>
        <w:t xml:space="preserve">were </w:t>
      </w:r>
      <w:r w:rsidR="00F711AC" w:rsidRPr="00754AAD">
        <w:rPr>
          <w:rStyle w:val="documentlip1"/>
          <w:rFonts w:ascii="Aptos" w:hAnsi="Aptos" w:cs="Open Sans"/>
          <w:szCs w:val="22"/>
        </w:rPr>
        <w:t>issued by the FASB</w:t>
      </w:r>
      <w:r w:rsidR="00167383" w:rsidRPr="00754AAD">
        <w:rPr>
          <w:rStyle w:val="documentlip1"/>
          <w:rFonts w:ascii="Aptos" w:hAnsi="Aptos" w:cs="Open Sans"/>
          <w:szCs w:val="22"/>
        </w:rPr>
        <w:t xml:space="preserve"> </w:t>
      </w:r>
      <w:r w:rsidR="00DA0372" w:rsidRPr="00754AAD">
        <w:rPr>
          <w:rStyle w:val="documentlip1"/>
          <w:rFonts w:ascii="Aptos" w:hAnsi="Aptos" w:cs="Open Sans"/>
          <w:szCs w:val="22"/>
        </w:rPr>
        <w:t>(the “Board”)</w:t>
      </w:r>
      <w:r w:rsidR="00167383" w:rsidRPr="00754AAD">
        <w:rPr>
          <w:rStyle w:val="documentlip1"/>
          <w:rFonts w:ascii="Aptos" w:hAnsi="Aptos" w:cs="Open Sans"/>
          <w:szCs w:val="22"/>
        </w:rPr>
        <w:t xml:space="preserve"> </w:t>
      </w:r>
      <w:r w:rsidR="002C057F" w:rsidRPr="00754AAD">
        <w:rPr>
          <w:rStyle w:val="documentlip1"/>
          <w:rFonts w:ascii="Aptos" w:hAnsi="Aptos" w:cs="Open Sans"/>
          <w:szCs w:val="22"/>
        </w:rPr>
        <w:t xml:space="preserve">during the </w:t>
      </w:r>
      <w:r w:rsidR="00330430" w:rsidRPr="00754AAD">
        <w:rPr>
          <w:rStyle w:val="documentlip1"/>
          <w:rFonts w:ascii="Aptos" w:hAnsi="Aptos" w:cs="Open Sans"/>
          <w:szCs w:val="22"/>
        </w:rPr>
        <w:t>three-month</w:t>
      </w:r>
      <w:r w:rsidR="002C057F" w:rsidRPr="00754AAD">
        <w:rPr>
          <w:rStyle w:val="documentlip1"/>
          <w:rFonts w:ascii="Aptos" w:hAnsi="Aptos" w:cs="Open Sans"/>
          <w:szCs w:val="22"/>
        </w:rPr>
        <w:t xml:space="preserve"> period ending </w:t>
      </w:r>
      <w:r w:rsidR="0011685C" w:rsidRPr="00754AAD">
        <w:rPr>
          <w:rStyle w:val="documentlip1"/>
          <w:rFonts w:ascii="Aptos" w:hAnsi="Aptos" w:cs="Open Sans"/>
          <w:szCs w:val="22"/>
        </w:rPr>
        <w:t>June</w:t>
      </w:r>
      <w:r w:rsidR="00FB4B47" w:rsidRPr="00754AAD">
        <w:rPr>
          <w:rStyle w:val="documentlip1"/>
          <w:rFonts w:ascii="Aptos" w:hAnsi="Aptos" w:cs="Open Sans"/>
          <w:szCs w:val="22"/>
        </w:rPr>
        <w:t xml:space="preserve"> </w:t>
      </w:r>
      <w:r w:rsidR="0090020B" w:rsidRPr="00754AAD">
        <w:rPr>
          <w:rStyle w:val="documentlip1"/>
          <w:rFonts w:ascii="Aptos" w:hAnsi="Aptos" w:cs="Open Sans"/>
          <w:szCs w:val="22"/>
        </w:rPr>
        <w:t>3</w:t>
      </w:r>
      <w:r w:rsidR="0011685C" w:rsidRPr="00754AAD">
        <w:rPr>
          <w:rStyle w:val="documentlip1"/>
          <w:rFonts w:ascii="Aptos" w:hAnsi="Aptos" w:cs="Open Sans"/>
          <w:szCs w:val="22"/>
        </w:rPr>
        <w:t>0</w:t>
      </w:r>
      <w:r w:rsidR="001404F7" w:rsidRPr="00754AAD">
        <w:rPr>
          <w:rStyle w:val="documentlip1"/>
          <w:rFonts w:ascii="Aptos" w:hAnsi="Aptos" w:cs="Open Sans"/>
          <w:szCs w:val="22"/>
        </w:rPr>
        <w:t xml:space="preserve">, </w:t>
      </w:r>
      <w:r w:rsidR="006F5277" w:rsidRPr="00754AAD">
        <w:rPr>
          <w:rStyle w:val="documentlip1"/>
          <w:rFonts w:ascii="Aptos" w:hAnsi="Aptos" w:cs="Open Sans"/>
          <w:szCs w:val="22"/>
        </w:rPr>
        <w:t>202</w:t>
      </w:r>
      <w:r w:rsidR="00D83C77" w:rsidRPr="00754AAD">
        <w:rPr>
          <w:rStyle w:val="documentlip1"/>
          <w:rFonts w:ascii="Aptos" w:hAnsi="Aptos" w:cs="Open Sans"/>
          <w:szCs w:val="22"/>
        </w:rPr>
        <w:t>5</w:t>
      </w:r>
      <w:r w:rsidR="00BE0A54" w:rsidRPr="00754AAD">
        <w:rPr>
          <w:rStyle w:val="documentlip1"/>
          <w:rFonts w:ascii="Aptos" w:hAnsi="Aptos" w:cs="Open Sans"/>
          <w:szCs w:val="22"/>
        </w:rPr>
        <w:t>:</w:t>
      </w:r>
    </w:p>
    <w:p w14:paraId="4EB7DD23" w14:textId="11C8C985" w:rsidR="00AF3E74" w:rsidRPr="00754AAD" w:rsidRDefault="00483BFC" w:rsidP="00AF3E74">
      <w:pPr>
        <w:pStyle w:val="PABulletLink75IND"/>
        <w:numPr>
          <w:ilvl w:val="0"/>
          <w:numId w:val="18"/>
        </w:numPr>
        <w:spacing w:before="0" w:after="240"/>
        <w:ind w:left="360"/>
        <w:rPr>
          <w:rStyle w:val="Hyperlink"/>
          <w:rFonts w:ascii="Aptos" w:hAnsi="Aptos" w:cs="Open Sans"/>
          <w:b/>
          <w:iCs/>
        </w:rPr>
      </w:pPr>
      <w:hyperlink r:id="rId11" w:history="1">
        <w:r w:rsidR="00D83C77" w:rsidRPr="00754AAD">
          <w:rPr>
            <w:rStyle w:val="Hyperlink"/>
            <w:rFonts w:ascii="Aptos" w:hAnsi="Aptos" w:cs="Open Sans"/>
            <w:b/>
            <w:iCs/>
          </w:rPr>
          <w:t>2025-0</w:t>
        </w:r>
        <w:r w:rsidR="0011685C" w:rsidRPr="00754AAD">
          <w:rPr>
            <w:rStyle w:val="Hyperlink"/>
            <w:rFonts w:ascii="Aptos" w:hAnsi="Aptos" w:cs="Open Sans"/>
            <w:b/>
            <w:iCs/>
          </w:rPr>
          <w:t>3</w:t>
        </w:r>
        <w:r w:rsidR="00D83C77" w:rsidRPr="00754AAD">
          <w:rPr>
            <w:rStyle w:val="Hyperlink"/>
            <w:rFonts w:ascii="Aptos" w:hAnsi="Aptos" w:cs="Open Sans"/>
            <w:b/>
            <w:iCs/>
          </w:rPr>
          <w:t xml:space="preserve"> </w:t>
        </w:r>
        <w:r w:rsidR="00B60CDC" w:rsidRPr="00754AAD">
          <w:rPr>
            <w:rStyle w:val="Hyperlink"/>
            <w:rFonts w:ascii="Aptos" w:hAnsi="Aptos" w:cs="Open Sans"/>
            <w:b/>
            <w:iCs/>
          </w:rPr>
          <w:t>—</w:t>
        </w:r>
        <w:r w:rsidR="00D83C77" w:rsidRPr="00754AAD">
          <w:rPr>
            <w:rStyle w:val="Hyperlink"/>
            <w:rFonts w:ascii="Aptos" w:hAnsi="Aptos" w:cs="Open Sans"/>
            <w:b/>
            <w:iCs/>
          </w:rPr>
          <w:t xml:space="preserve"> </w:t>
        </w:r>
        <w:r w:rsidR="0011685C" w:rsidRPr="00754AAD">
          <w:rPr>
            <w:rStyle w:val="Hyperlink"/>
            <w:rFonts w:ascii="Aptos" w:hAnsi="Aptos" w:cs="Open Sans"/>
            <w:b/>
            <w:iCs/>
            <w:lang w:val="en-US"/>
          </w:rPr>
          <w:t>Business Combinations (Topic 805) and Consolidation (Topic 810)</w:t>
        </w:r>
        <w:r w:rsidR="0089568A" w:rsidRPr="00754AAD">
          <w:rPr>
            <w:rStyle w:val="Hyperlink"/>
            <w:rFonts w:ascii="Aptos" w:hAnsi="Aptos" w:cs="Open Sans"/>
            <w:b/>
            <w:iCs/>
          </w:rPr>
          <w:t xml:space="preserve">: </w:t>
        </w:r>
        <w:r w:rsidR="0011685C" w:rsidRPr="00754AAD">
          <w:rPr>
            <w:rStyle w:val="Hyperlink"/>
            <w:rFonts w:ascii="Aptos" w:hAnsi="Aptos" w:cs="Open Sans"/>
            <w:b/>
            <w:iCs/>
            <w:lang w:val="en-US"/>
          </w:rPr>
          <w:t>Determining the Accounting Acquirer in the Acquisition of a Variable Interest Entity</w:t>
        </w:r>
      </w:hyperlink>
    </w:p>
    <w:p w14:paraId="54EF6D03" w14:textId="3E887298" w:rsidR="0011685C" w:rsidRPr="00754AAD" w:rsidRDefault="0011685C" w:rsidP="00860F4B">
      <w:pPr>
        <w:ind w:left="360"/>
        <w:rPr>
          <w:rStyle w:val="documentlip1"/>
          <w:rFonts w:ascii="Aptos" w:hAnsi="Aptos" w:cs="Open Sans"/>
          <w:szCs w:val="22"/>
        </w:rPr>
      </w:pPr>
      <w:r w:rsidRPr="00754AAD">
        <w:rPr>
          <w:rFonts w:ascii="Aptos" w:eastAsiaTheme="minorHAnsi" w:hAnsi="Aptos" w:cs="Open Sans"/>
          <w:color w:val="000000" w:themeColor="text1"/>
          <w:shd w:val="clear" w:color="auto" w:fill="FFFFFF"/>
        </w:rPr>
        <w:t xml:space="preserve">In May 2025, the FASB issued </w:t>
      </w:r>
      <w:hyperlink r:id="rId12" w:history="1">
        <w:r w:rsidRPr="00754AAD">
          <w:rPr>
            <w:rStyle w:val="Hyperlink"/>
            <w:rFonts w:ascii="Aptos" w:hAnsi="Aptos" w:cs="Open Sans"/>
          </w:rPr>
          <w:t>ASU 2025-03</w:t>
        </w:r>
      </w:hyperlink>
      <w:r w:rsidRPr="00754AAD">
        <w:rPr>
          <w:rFonts w:ascii="Aptos" w:eastAsiaTheme="minorHAnsi" w:hAnsi="Aptos" w:cs="Open Sans"/>
          <w:color w:val="000000" w:themeColor="text1"/>
          <w:shd w:val="clear" w:color="auto" w:fill="FFFFFF"/>
        </w:rPr>
        <w:t>, which revises the guidance in ASC 805</w:t>
      </w:r>
      <w:r w:rsidR="00BE4072" w:rsidRPr="00754AAD">
        <w:rPr>
          <w:rStyle w:val="FootnoteReference"/>
          <w:rFonts w:ascii="Aptos" w:eastAsiaTheme="minorHAnsi" w:hAnsi="Aptos" w:cs="Open Sans"/>
          <w:color w:val="000000" w:themeColor="text1"/>
          <w:shd w:val="clear" w:color="auto" w:fill="FFFFFF"/>
        </w:rPr>
        <w:footnoteReference w:id="3"/>
      </w:r>
      <w:r w:rsidR="00D733ED" w:rsidRPr="00754AAD">
        <w:rPr>
          <w:rFonts w:ascii="Aptos" w:eastAsiaTheme="minorHAnsi" w:hAnsi="Aptos" w:cs="Open Sans"/>
          <w:color w:val="000000" w:themeColor="text1"/>
          <w:shd w:val="clear" w:color="auto" w:fill="FFFFFF"/>
        </w:rPr>
        <w:t xml:space="preserve"> </w:t>
      </w:r>
      <w:r w:rsidRPr="00754AAD">
        <w:rPr>
          <w:rFonts w:ascii="Aptos" w:eastAsiaTheme="minorHAnsi" w:hAnsi="Aptos" w:cs="Open Sans"/>
          <w:color w:val="000000" w:themeColor="text1"/>
          <w:shd w:val="clear" w:color="auto" w:fill="FFFFFF"/>
        </w:rPr>
        <w:t>on identifying the accounting acquirer in a business combination in which the legal acquiree is a variable interest entity (VIE). The ASU is intended to improve comparability between business combinations that involve VIEs and those that do not. Under the ASU, a reporting entity involved in a business combination effected primarily by the exchange of equity interests must consider the factors in ASC 805-10-55-12 through 55-15 to determine which entity is the accounting acquirer </w:t>
      </w:r>
      <w:r w:rsidRPr="00754AAD">
        <w:rPr>
          <w:rFonts w:ascii="Aptos" w:eastAsiaTheme="minorHAnsi" w:hAnsi="Aptos" w:cs="Open Sans"/>
          <w:i/>
          <w:iCs/>
          <w:color w:val="000000" w:themeColor="text1"/>
          <w:shd w:val="clear" w:color="auto" w:fill="FFFFFF"/>
        </w:rPr>
        <w:t>regardless of whether the legal acquiree is a VIE</w:t>
      </w:r>
      <w:r w:rsidRPr="00754AAD">
        <w:rPr>
          <w:rFonts w:ascii="Aptos" w:eastAsiaTheme="minorHAnsi" w:hAnsi="Aptos" w:cs="Open Sans"/>
          <w:color w:val="000000" w:themeColor="text1"/>
          <w:shd w:val="clear" w:color="auto" w:fill="FFFFFF"/>
        </w:rPr>
        <w:t xml:space="preserve">. More specifically, when considering those factors, the reporting entity can determine that a transaction in which the legal acquiree is a VIE represents a reverse acquisition (in which the legal acquirer is identified as the acquiree for accounting purposes). As a result, comparability is increased with business combinations in which the legal acquiree is a </w:t>
      </w:r>
      <w:r w:rsidR="00BE4072" w:rsidRPr="00754AAD">
        <w:rPr>
          <w:rFonts w:ascii="Aptos" w:eastAsiaTheme="minorHAnsi" w:hAnsi="Aptos" w:cs="Open Sans"/>
          <w:color w:val="000000" w:themeColor="text1"/>
          <w:shd w:val="clear" w:color="auto" w:fill="FFFFFF"/>
        </w:rPr>
        <w:t>voting</w:t>
      </w:r>
      <w:r w:rsidRPr="00754AAD">
        <w:rPr>
          <w:rFonts w:ascii="Aptos" w:eastAsiaTheme="minorHAnsi" w:hAnsi="Aptos" w:cs="Open Sans"/>
          <w:color w:val="000000" w:themeColor="text1"/>
          <w:shd w:val="clear" w:color="auto" w:fill="FFFFFF"/>
        </w:rPr>
        <w:t xml:space="preserve"> interest entity (VOE).</w:t>
      </w:r>
      <w:r w:rsidRPr="00754AAD" w:rsidDel="0011685C">
        <w:rPr>
          <w:rFonts w:ascii="Aptos" w:eastAsiaTheme="minorHAnsi" w:hAnsi="Aptos" w:cs="Open Sans"/>
          <w:color w:val="000000" w:themeColor="text1"/>
          <w:shd w:val="clear" w:color="auto" w:fill="FFFFFF"/>
        </w:rPr>
        <w:t xml:space="preserve"> </w:t>
      </w:r>
    </w:p>
    <w:p w14:paraId="116E0361" w14:textId="07CC84A2" w:rsidR="00AF3E74" w:rsidRPr="00754AAD" w:rsidRDefault="00AF3E74" w:rsidP="00860F4B">
      <w:pPr>
        <w:ind w:left="360"/>
        <w:rPr>
          <w:rFonts w:ascii="Aptos" w:hAnsi="Aptos" w:cs="Open Sans"/>
        </w:rPr>
      </w:pPr>
      <w:r w:rsidRPr="00754AAD">
        <w:rPr>
          <w:rFonts w:ascii="Aptos" w:hAnsi="Aptos" w:cs="Open Sans"/>
        </w:rPr>
        <w:t xml:space="preserve">See Deloitte’s </w:t>
      </w:r>
      <w:r w:rsidR="0011685C" w:rsidRPr="00754AAD">
        <w:rPr>
          <w:rFonts w:ascii="Aptos" w:hAnsi="Aptos" w:cs="Open Sans"/>
        </w:rPr>
        <w:t>May 30, 2025</w:t>
      </w:r>
      <w:r w:rsidRPr="00754AAD">
        <w:rPr>
          <w:rFonts w:ascii="Aptos" w:hAnsi="Aptos" w:cs="Open Sans"/>
        </w:rPr>
        <w:t xml:space="preserve">, </w:t>
      </w:r>
      <w:hyperlink r:id="rId13" w:history="1">
        <w:r w:rsidRPr="00754AAD">
          <w:rPr>
            <w:rStyle w:val="Hyperlink"/>
            <w:rFonts w:ascii="Aptos" w:eastAsia="Verdana" w:hAnsi="Aptos" w:cs="Open Sans"/>
          </w:rPr>
          <w:t>Heads Up</w:t>
        </w:r>
      </w:hyperlink>
      <w:r w:rsidRPr="00754AAD">
        <w:rPr>
          <w:rFonts w:ascii="Aptos" w:hAnsi="Aptos" w:cs="Open Sans"/>
          <w:i/>
          <w:iCs/>
        </w:rPr>
        <w:t xml:space="preserve"> </w:t>
      </w:r>
      <w:r w:rsidRPr="00754AAD">
        <w:rPr>
          <w:rFonts w:ascii="Aptos" w:hAnsi="Aptos" w:cs="Open Sans"/>
        </w:rPr>
        <w:t>for a summary of the amendments made by</w:t>
      </w:r>
      <w:r w:rsidR="006761CE" w:rsidRPr="00754AAD">
        <w:rPr>
          <w:rFonts w:ascii="Aptos" w:hAnsi="Aptos" w:cs="Open Sans"/>
        </w:rPr>
        <w:t xml:space="preserve"> </w:t>
      </w:r>
      <w:r w:rsidR="0011685C" w:rsidRPr="00754AAD">
        <w:rPr>
          <w:rFonts w:ascii="Aptos" w:hAnsi="Aptos" w:cs="Open Sans"/>
          <w:color w:val="000000"/>
          <w:szCs w:val="18"/>
        </w:rPr>
        <w:t>ASU 2025-03.</w:t>
      </w:r>
    </w:p>
    <w:p w14:paraId="089C27E0" w14:textId="58258D07" w:rsidR="004F2E23" w:rsidRPr="00754AAD" w:rsidRDefault="00483BFC" w:rsidP="004F2E23">
      <w:pPr>
        <w:pStyle w:val="PABulletLink75IND"/>
        <w:numPr>
          <w:ilvl w:val="0"/>
          <w:numId w:val="18"/>
        </w:numPr>
        <w:spacing w:before="0" w:after="240"/>
        <w:ind w:left="360"/>
        <w:rPr>
          <w:rStyle w:val="Hyperlink"/>
          <w:rFonts w:ascii="Aptos" w:hAnsi="Aptos" w:cs="Open Sans"/>
          <w:b/>
          <w:iCs/>
        </w:rPr>
      </w:pPr>
      <w:hyperlink r:id="rId14" w:history="1">
        <w:r w:rsidR="00D83C77" w:rsidRPr="00754AAD">
          <w:rPr>
            <w:rStyle w:val="Hyperlink"/>
            <w:rFonts w:ascii="Aptos" w:hAnsi="Aptos" w:cs="Open Sans"/>
            <w:b/>
            <w:iCs/>
          </w:rPr>
          <w:t>2025-</w:t>
        </w:r>
        <w:r w:rsidR="00BE4072" w:rsidRPr="00754AAD">
          <w:rPr>
            <w:rStyle w:val="Hyperlink"/>
            <w:rFonts w:ascii="Aptos" w:hAnsi="Aptos" w:cs="Open Sans"/>
            <w:b/>
            <w:iCs/>
          </w:rPr>
          <w:t xml:space="preserve">04 </w:t>
        </w:r>
        <w:r w:rsidR="00D83C77" w:rsidRPr="00754AAD">
          <w:rPr>
            <w:rStyle w:val="Hyperlink"/>
            <w:rFonts w:ascii="Aptos" w:hAnsi="Aptos" w:cs="Open Sans"/>
            <w:b/>
            <w:iCs/>
          </w:rPr>
          <w:t xml:space="preserve">— </w:t>
        </w:r>
        <w:r w:rsidR="00BE4072" w:rsidRPr="00754AAD">
          <w:rPr>
            <w:rStyle w:val="Hyperlink"/>
            <w:rFonts w:ascii="Aptos" w:hAnsi="Aptos" w:cs="Open Sans"/>
            <w:b/>
            <w:iCs/>
            <w:lang w:val="en-US"/>
          </w:rPr>
          <w:t>Compensation</w:t>
        </w:r>
        <w:r w:rsidR="00436020" w:rsidRPr="00754AAD">
          <w:rPr>
            <w:rStyle w:val="Hyperlink"/>
            <w:rFonts w:ascii="Aptos" w:hAnsi="Aptos" w:cs="Open Sans"/>
            <w:b/>
            <w:iCs/>
            <w:lang w:val="en-US"/>
          </w:rPr>
          <w:t xml:space="preserve"> </w:t>
        </w:r>
        <w:r w:rsidR="00BE4072" w:rsidRPr="00754AAD">
          <w:rPr>
            <w:rStyle w:val="Hyperlink"/>
            <w:rFonts w:ascii="Aptos" w:hAnsi="Aptos" w:cs="Open Sans"/>
            <w:b/>
            <w:iCs/>
            <w:lang w:val="en-US"/>
          </w:rPr>
          <w:t>—</w:t>
        </w:r>
        <w:r w:rsidR="00436020" w:rsidRPr="00754AAD">
          <w:rPr>
            <w:rStyle w:val="Hyperlink"/>
            <w:rFonts w:ascii="Aptos" w:hAnsi="Aptos" w:cs="Open Sans"/>
            <w:b/>
            <w:iCs/>
            <w:lang w:val="en-US"/>
          </w:rPr>
          <w:t xml:space="preserve"> </w:t>
        </w:r>
        <w:r w:rsidR="00BE4072" w:rsidRPr="00754AAD">
          <w:rPr>
            <w:rStyle w:val="Hyperlink"/>
            <w:rFonts w:ascii="Aptos" w:hAnsi="Aptos" w:cs="Open Sans"/>
            <w:b/>
            <w:iCs/>
            <w:lang w:val="en-US"/>
          </w:rPr>
          <w:t>Stock Compensation (Topic 718) and Revenue from Contracts with Customers (Topic 606): Clarifications to Share-Based Consideration Payable to a Customer</w:t>
        </w:r>
      </w:hyperlink>
      <w:r w:rsidR="00BE4072" w:rsidRPr="00754AAD" w:rsidDel="00BE4072">
        <w:rPr>
          <w:rFonts w:ascii="Aptos" w:hAnsi="Aptos" w:cs="Open Sans"/>
          <w:b/>
          <w:iCs/>
          <w:color w:val="62B5E5"/>
          <w:u w:val="single"/>
          <w:lang w:val="en-US"/>
        </w:rPr>
        <w:t xml:space="preserve"> </w:t>
      </w:r>
    </w:p>
    <w:p w14:paraId="2A217D60" w14:textId="4F25C88C" w:rsidR="00FC64D9" w:rsidRPr="00754AAD" w:rsidRDefault="00FC64D9" w:rsidP="00860F4B">
      <w:pPr>
        <w:pStyle w:val="PABulletLink75IND"/>
        <w:numPr>
          <w:ilvl w:val="0"/>
          <w:numId w:val="0"/>
        </w:numPr>
        <w:spacing w:before="0" w:after="240"/>
        <w:ind w:left="360"/>
        <w:rPr>
          <w:rStyle w:val="documentlip1"/>
          <w:rFonts w:ascii="Aptos" w:hAnsi="Aptos" w:cs="Open Sans"/>
          <w:szCs w:val="22"/>
        </w:rPr>
      </w:pPr>
      <w:r w:rsidRPr="00754AAD">
        <w:rPr>
          <w:rStyle w:val="documentlip1"/>
          <w:rFonts w:ascii="Aptos" w:hAnsi="Aptos" w:cs="Open Sans"/>
          <w:szCs w:val="22"/>
        </w:rPr>
        <w:t xml:space="preserve">In </w:t>
      </w:r>
      <w:r w:rsidR="00BE4072" w:rsidRPr="00754AAD">
        <w:rPr>
          <w:rStyle w:val="documentlip1"/>
          <w:rFonts w:ascii="Aptos" w:hAnsi="Aptos" w:cs="Open Sans"/>
          <w:szCs w:val="22"/>
        </w:rPr>
        <w:t xml:space="preserve">May </w:t>
      </w:r>
      <w:r w:rsidRPr="00754AAD">
        <w:rPr>
          <w:rStyle w:val="documentlip1"/>
          <w:rFonts w:ascii="Aptos" w:hAnsi="Aptos" w:cs="Open Sans"/>
          <w:szCs w:val="22"/>
        </w:rPr>
        <w:t xml:space="preserve">2025, </w:t>
      </w:r>
      <w:r w:rsidR="00BE4072" w:rsidRPr="00754AAD">
        <w:rPr>
          <w:rFonts w:ascii="Aptos" w:hAnsi="Aptos" w:cs="Open Sans"/>
          <w:color w:val="000000" w:themeColor="text1"/>
        </w:rPr>
        <w:t xml:space="preserve">the FASB issued </w:t>
      </w:r>
      <w:hyperlink r:id="rId15" w:history="1">
        <w:r w:rsidR="00BE4072" w:rsidRPr="00754AAD">
          <w:rPr>
            <w:rStyle w:val="Hyperlink"/>
            <w:rFonts w:ascii="Aptos" w:hAnsi="Aptos" w:cs="Open Sans"/>
          </w:rPr>
          <w:t>ASU 2025-04</w:t>
        </w:r>
      </w:hyperlink>
      <w:r w:rsidR="00BE4072" w:rsidRPr="00754AAD">
        <w:rPr>
          <w:rFonts w:ascii="Aptos" w:hAnsi="Aptos" w:cs="Open Sans"/>
          <w:color w:val="000000" w:themeColor="text1"/>
        </w:rPr>
        <w:t xml:space="preserve">, </w:t>
      </w:r>
      <w:r w:rsidR="00B46CA7" w:rsidRPr="00754AAD">
        <w:rPr>
          <w:rFonts w:ascii="Aptos" w:hAnsi="Aptos" w:cs="Open Sans"/>
          <w:color w:val="000000" w:themeColor="text1"/>
        </w:rPr>
        <w:t>which</w:t>
      </w:r>
      <w:r w:rsidR="00BE4072" w:rsidRPr="00754AAD">
        <w:rPr>
          <w:rFonts w:ascii="Aptos" w:hAnsi="Aptos" w:cs="Open Sans"/>
          <w:color w:val="000000" w:themeColor="text1"/>
          <w:lang w:val="en-US"/>
        </w:rPr>
        <w:t xml:space="preserve"> clarifies the guidance in both ASC 606</w:t>
      </w:r>
      <w:r w:rsidR="00BE4072" w:rsidRPr="00754AAD">
        <w:rPr>
          <w:rStyle w:val="FootnoteReference"/>
          <w:rFonts w:ascii="Aptos" w:hAnsi="Aptos" w:cs="Open Sans"/>
          <w:color w:val="000000" w:themeColor="text1"/>
          <w:lang w:val="en-US"/>
        </w:rPr>
        <w:footnoteReference w:id="4"/>
      </w:r>
      <w:r w:rsidR="00BE4072" w:rsidRPr="00754AAD">
        <w:rPr>
          <w:rFonts w:ascii="Aptos" w:hAnsi="Aptos" w:cs="Open Sans"/>
          <w:color w:val="000000" w:themeColor="text1"/>
          <w:lang w:val="en-US"/>
        </w:rPr>
        <w:t xml:space="preserve"> and ASC 718</w:t>
      </w:r>
      <w:r w:rsidR="00BE4072" w:rsidRPr="00754AAD">
        <w:rPr>
          <w:rStyle w:val="FootnoteReference"/>
          <w:rFonts w:ascii="Aptos" w:hAnsi="Aptos" w:cs="Open Sans"/>
          <w:color w:val="000000" w:themeColor="text1"/>
          <w:lang w:val="en-US"/>
        </w:rPr>
        <w:footnoteReference w:id="5"/>
      </w:r>
      <w:r w:rsidR="00BE4072" w:rsidRPr="00754AAD">
        <w:rPr>
          <w:rFonts w:ascii="Aptos" w:hAnsi="Aptos" w:cs="Open Sans"/>
          <w:color w:val="000000" w:themeColor="text1"/>
          <w:lang w:val="en-US"/>
        </w:rPr>
        <w:t> on the accounting for share-based payment awards that are granted by an entity as consideration payable to its customer. The ASU is intended to reduce diversity in practice and improve existing guidance, primarily by revising the definition of a “performance condition” and eliminating a forfeiture policy election for service conditions associated with share-based consideration payable to a customer. In addition, the ASU clarifies that the guidance in ASC 606 on the variable consideration constraint does not apply to share-based consideration payable to a customer “regardless of whether an award’s grant date has occurred” (as determined under ASC 718).</w:t>
      </w:r>
    </w:p>
    <w:p w14:paraId="6328657D" w14:textId="5F6D5F75" w:rsidR="00FB4B47" w:rsidRPr="00754AAD" w:rsidRDefault="00FB4B47" w:rsidP="00860F4B">
      <w:pPr>
        <w:ind w:left="360"/>
        <w:rPr>
          <w:rFonts w:ascii="Aptos" w:hAnsi="Aptos" w:cs="Open Sans"/>
        </w:rPr>
      </w:pPr>
      <w:r w:rsidRPr="00754AAD">
        <w:rPr>
          <w:rFonts w:ascii="Aptos" w:hAnsi="Aptos" w:cs="Open Sans"/>
        </w:rPr>
        <w:t xml:space="preserve">See Deloitte’s </w:t>
      </w:r>
      <w:r w:rsidR="00BE4072" w:rsidRPr="00754AAD">
        <w:rPr>
          <w:rFonts w:ascii="Aptos" w:hAnsi="Aptos" w:cs="Open Sans"/>
        </w:rPr>
        <w:t>May 16, 2025</w:t>
      </w:r>
      <w:r w:rsidRPr="00754AAD">
        <w:rPr>
          <w:rFonts w:ascii="Aptos" w:hAnsi="Aptos" w:cs="Open Sans"/>
        </w:rPr>
        <w:t xml:space="preserve">, </w:t>
      </w:r>
      <w:hyperlink r:id="rId16" w:history="1">
        <w:r w:rsidRPr="00754AAD">
          <w:rPr>
            <w:rStyle w:val="Hyperlink"/>
            <w:rFonts w:ascii="Aptos" w:eastAsia="Verdana" w:hAnsi="Aptos" w:cs="Open Sans"/>
          </w:rPr>
          <w:t>Heads Up</w:t>
        </w:r>
      </w:hyperlink>
      <w:r w:rsidRPr="00754AAD">
        <w:rPr>
          <w:rFonts w:ascii="Aptos" w:hAnsi="Aptos" w:cs="Open Sans"/>
          <w:i/>
          <w:iCs/>
        </w:rPr>
        <w:t xml:space="preserve"> </w:t>
      </w:r>
      <w:r w:rsidRPr="00754AAD">
        <w:rPr>
          <w:rFonts w:ascii="Aptos" w:hAnsi="Aptos" w:cs="Open Sans"/>
        </w:rPr>
        <w:t xml:space="preserve">for a </w:t>
      </w:r>
      <w:r w:rsidR="00FC64D9" w:rsidRPr="00754AAD">
        <w:rPr>
          <w:rFonts w:ascii="Aptos" w:hAnsi="Aptos" w:cs="Open Sans"/>
        </w:rPr>
        <w:t xml:space="preserve">summary of </w:t>
      </w:r>
      <w:r w:rsidR="00BE4072" w:rsidRPr="00754AAD">
        <w:rPr>
          <w:rFonts w:ascii="Aptos" w:hAnsi="Aptos" w:cs="Open Sans"/>
        </w:rPr>
        <w:t>clarifications made by ASU 2025-04</w:t>
      </w:r>
      <w:r w:rsidR="00FC64D9" w:rsidRPr="00754AAD">
        <w:rPr>
          <w:rFonts w:ascii="Aptos" w:hAnsi="Aptos" w:cs="Open Sans"/>
        </w:rPr>
        <w:t>.</w:t>
      </w:r>
    </w:p>
    <w:p w14:paraId="5C98977A" w14:textId="1DF86079" w:rsidR="00986C9E" w:rsidRPr="00754AAD" w:rsidRDefault="00EE0128" w:rsidP="00EF6CC8">
      <w:pPr>
        <w:keepNext/>
        <w:rPr>
          <w:rFonts w:ascii="Aptos" w:hAnsi="Aptos" w:cs="Open Sans"/>
          <w:b/>
          <w:bCs/>
          <w:sz w:val="28"/>
          <w:szCs w:val="28"/>
        </w:rPr>
      </w:pPr>
      <w:r w:rsidRPr="00754AAD">
        <w:rPr>
          <w:rFonts w:ascii="Aptos" w:hAnsi="Aptos" w:cs="Open Sans"/>
          <w:b/>
          <w:bCs/>
          <w:sz w:val="28"/>
          <w:szCs w:val="28"/>
        </w:rPr>
        <w:t xml:space="preserve">Changes Reflected in the </w:t>
      </w:r>
      <w:r w:rsidR="0042616E" w:rsidRPr="00754AAD">
        <w:rPr>
          <w:rFonts w:ascii="Aptos" w:hAnsi="Aptos" w:cs="Open Sans"/>
          <w:b/>
          <w:bCs/>
          <w:sz w:val="28"/>
          <w:szCs w:val="28"/>
        </w:rPr>
        <w:t>U.S</w:t>
      </w:r>
      <w:r w:rsidR="00435B49" w:rsidRPr="00754AAD">
        <w:rPr>
          <w:rFonts w:ascii="Aptos" w:hAnsi="Aptos" w:cs="Open Sans"/>
          <w:b/>
          <w:bCs/>
          <w:sz w:val="28"/>
          <w:szCs w:val="28"/>
        </w:rPr>
        <w:t>.</w:t>
      </w:r>
      <w:r w:rsidR="0042616E" w:rsidRPr="00754AAD">
        <w:rPr>
          <w:rFonts w:ascii="Aptos" w:hAnsi="Aptos" w:cs="Open Sans"/>
          <w:b/>
          <w:bCs/>
          <w:sz w:val="28"/>
          <w:szCs w:val="28"/>
        </w:rPr>
        <w:t xml:space="preserve"> GAAP </w:t>
      </w:r>
      <w:r w:rsidRPr="00754AAD">
        <w:rPr>
          <w:rFonts w:ascii="Aptos" w:hAnsi="Aptos" w:cs="Open Sans"/>
          <w:b/>
          <w:bCs/>
          <w:sz w:val="28"/>
          <w:szCs w:val="28"/>
        </w:rPr>
        <w:t>Checklist</w:t>
      </w:r>
      <w:r w:rsidR="0042616E" w:rsidRPr="00754AAD">
        <w:rPr>
          <w:rFonts w:ascii="Aptos" w:hAnsi="Aptos" w:cs="Open Sans"/>
          <w:b/>
          <w:bCs/>
          <w:sz w:val="28"/>
          <w:szCs w:val="28"/>
        </w:rPr>
        <w:t xml:space="preserve"> </w:t>
      </w:r>
      <w:r w:rsidR="00C130F3" w:rsidRPr="00754AAD">
        <w:rPr>
          <w:rFonts w:ascii="Aptos" w:hAnsi="Aptos" w:cs="Open Sans"/>
          <w:b/>
          <w:bCs/>
          <w:sz w:val="28"/>
          <w:szCs w:val="28"/>
        </w:rPr>
        <w:t>and Codification</w:t>
      </w:r>
    </w:p>
    <w:p w14:paraId="7D36C3BE" w14:textId="10C3DB88" w:rsidR="001A19EF" w:rsidRPr="00754AAD" w:rsidRDefault="001A19EF" w:rsidP="00EA1E1F">
      <w:pPr>
        <w:rPr>
          <w:rFonts w:ascii="Aptos" w:hAnsi="Aptos" w:cs="Open Sans"/>
        </w:rPr>
      </w:pPr>
      <w:r w:rsidRPr="00754AAD">
        <w:rPr>
          <w:rFonts w:ascii="Aptos" w:hAnsi="Aptos" w:cs="Open Sans"/>
        </w:rPr>
        <w:t>When the FASB amends the Codification with an ASU, each paragraph that was amended by the ASU is left unchanged (for entities that have not adopted the ASU)</w:t>
      </w:r>
      <w:r w:rsidR="001D62FD" w:rsidRPr="00754AAD">
        <w:rPr>
          <w:rFonts w:ascii="Aptos" w:hAnsi="Aptos" w:cs="Open Sans"/>
        </w:rPr>
        <w:t>,</w:t>
      </w:r>
      <w:r w:rsidRPr="00754AAD">
        <w:rPr>
          <w:rFonts w:ascii="Aptos" w:hAnsi="Aptos" w:cs="Open Sans"/>
        </w:rPr>
        <w:t xml:space="preserve"> but is followed by a paragraph containing “pending content</w:t>
      </w:r>
      <w:r w:rsidR="0014471D" w:rsidRPr="00754AAD">
        <w:rPr>
          <w:rFonts w:ascii="Aptos" w:hAnsi="Aptos" w:cs="Open Sans"/>
        </w:rPr>
        <w:t>.</w:t>
      </w:r>
      <w:r w:rsidRPr="00754AAD">
        <w:rPr>
          <w:rFonts w:ascii="Aptos" w:hAnsi="Aptos" w:cs="Open Sans"/>
        </w:rPr>
        <w:t xml:space="preserve">” </w:t>
      </w:r>
      <w:r w:rsidR="00DB1159" w:rsidRPr="00754AAD">
        <w:rPr>
          <w:rFonts w:ascii="Aptos" w:hAnsi="Aptos" w:cs="Open Sans"/>
        </w:rPr>
        <w:t>Upon adoption of an ASU, entities</w:t>
      </w:r>
      <w:r w:rsidRPr="00754AAD">
        <w:rPr>
          <w:rFonts w:ascii="Aptos" w:hAnsi="Aptos" w:cs="Open Sans"/>
        </w:rPr>
        <w:t xml:space="preserve"> need to complete the amended </w:t>
      </w:r>
      <w:r w:rsidR="001A1182" w:rsidRPr="00754AAD">
        <w:rPr>
          <w:rFonts w:ascii="Aptos" w:hAnsi="Aptos" w:cs="Open Sans"/>
        </w:rPr>
        <w:lastRenderedPageBreak/>
        <w:t xml:space="preserve">subtopic </w:t>
      </w:r>
      <w:r w:rsidRPr="00754AAD">
        <w:rPr>
          <w:rFonts w:ascii="Aptos" w:hAnsi="Aptos" w:cs="Open Sans"/>
        </w:rPr>
        <w:t>using the pending content for each paragraph that</w:t>
      </w:r>
      <w:r w:rsidR="00FA37BB" w:rsidRPr="00754AAD">
        <w:rPr>
          <w:rFonts w:ascii="Aptos" w:hAnsi="Aptos" w:cs="Open Sans"/>
        </w:rPr>
        <w:t xml:space="preserve"> has been</w:t>
      </w:r>
      <w:r w:rsidRPr="00754AAD">
        <w:rPr>
          <w:rFonts w:ascii="Aptos" w:hAnsi="Aptos" w:cs="Open Sans"/>
        </w:rPr>
        <w:t xml:space="preserve"> </w:t>
      </w:r>
      <w:r w:rsidR="00F50BE2" w:rsidRPr="00754AAD">
        <w:rPr>
          <w:rFonts w:ascii="Aptos" w:hAnsi="Aptos" w:cs="Open Sans"/>
        </w:rPr>
        <w:t>adopted</w:t>
      </w:r>
      <w:r w:rsidRPr="00754AAD">
        <w:rPr>
          <w:rFonts w:ascii="Aptos" w:hAnsi="Aptos" w:cs="Open Sans"/>
        </w:rPr>
        <w:t>.</w:t>
      </w:r>
    </w:p>
    <w:p w14:paraId="65C849A9" w14:textId="71101ED6" w:rsidR="00BE4072" w:rsidRPr="00754AAD" w:rsidRDefault="00483BFC" w:rsidP="00BE4072">
      <w:pPr>
        <w:pStyle w:val="PABulletLink75IND"/>
        <w:numPr>
          <w:ilvl w:val="0"/>
          <w:numId w:val="18"/>
        </w:numPr>
        <w:spacing w:before="0" w:after="240"/>
        <w:ind w:left="360"/>
        <w:rPr>
          <w:rStyle w:val="Hyperlink"/>
          <w:rFonts w:ascii="Aptos" w:hAnsi="Aptos" w:cs="Open Sans"/>
          <w:b/>
          <w:iCs/>
        </w:rPr>
      </w:pPr>
      <w:hyperlink r:id="rId17" w:history="1">
        <w:r w:rsidR="00BE4072" w:rsidRPr="00754AAD">
          <w:rPr>
            <w:rStyle w:val="Hyperlink"/>
            <w:rFonts w:ascii="Aptos" w:hAnsi="Aptos" w:cs="Open Sans"/>
            <w:b/>
            <w:iCs/>
          </w:rPr>
          <w:t xml:space="preserve">2025-03 </w:t>
        </w:r>
        <w:r w:rsidR="00B60CDC" w:rsidRPr="00754AAD">
          <w:rPr>
            <w:rStyle w:val="Hyperlink"/>
            <w:rFonts w:ascii="Aptos" w:hAnsi="Aptos" w:cs="Open Sans"/>
            <w:b/>
            <w:iCs/>
          </w:rPr>
          <w:t>—</w:t>
        </w:r>
        <w:r w:rsidR="00BE4072" w:rsidRPr="00754AAD">
          <w:rPr>
            <w:rStyle w:val="Hyperlink"/>
            <w:rFonts w:ascii="Aptos" w:hAnsi="Aptos" w:cs="Open Sans"/>
            <w:b/>
            <w:iCs/>
          </w:rPr>
          <w:t xml:space="preserve"> </w:t>
        </w:r>
        <w:r w:rsidR="00BE4072" w:rsidRPr="00754AAD">
          <w:rPr>
            <w:rStyle w:val="Hyperlink"/>
            <w:rFonts w:ascii="Aptos" w:hAnsi="Aptos" w:cs="Open Sans"/>
            <w:b/>
            <w:iCs/>
            <w:lang w:val="en-US"/>
          </w:rPr>
          <w:t>Business Combinations (Topic 805) and Consolidation (Topic 810)</w:t>
        </w:r>
        <w:r w:rsidR="00BE4072" w:rsidRPr="00754AAD">
          <w:rPr>
            <w:rStyle w:val="Hyperlink"/>
            <w:rFonts w:ascii="Aptos" w:hAnsi="Aptos" w:cs="Open Sans"/>
            <w:b/>
            <w:iCs/>
          </w:rPr>
          <w:t xml:space="preserve">: </w:t>
        </w:r>
        <w:r w:rsidR="00BE4072" w:rsidRPr="00754AAD">
          <w:rPr>
            <w:rStyle w:val="Hyperlink"/>
            <w:rFonts w:ascii="Aptos" w:hAnsi="Aptos" w:cs="Open Sans"/>
            <w:b/>
            <w:iCs/>
            <w:lang w:val="en-US"/>
          </w:rPr>
          <w:t>Determining the Accounting Acquirer in the Acquisition of a Variable Interest Entity</w:t>
        </w:r>
      </w:hyperlink>
    </w:p>
    <w:p w14:paraId="7FD3D031" w14:textId="7B1BB7A9" w:rsidR="00AF3E74" w:rsidRPr="00754AAD" w:rsidRDefault="00AF3E74" w:rsidP="00860F4B">
      <w:pPr>
        <w:ind w:left="360"/>
        <w:rPr>
          <w:rFonts w:ascii="Aptos" w:hAnsi="Aptos" w:cs="Open Sans"/>
        </w:rPr>
      </w:pPr>
      <w:r w:rsidRPr="00754AAD">
        <w:rPr>
          <w:rFonts w:ascii="Aptos" w:hAnsi="Aptos" w:cs="Open Sans"/>
        </w:rPr>
        <w:t>The following sections have not been updated in the U.S. GAAP Checklist</w:t>
      </w:r>
      <w:r w:rsidRPr="00754AAD" w:rsidDel="00560F4C">
        <w:rPr>
          <w:rFonts w:ascii="Aptos" w:hAnsi="Aptos" w:cs="Open Sans"/>
        </w:rPr>
        <w:t xml:space="preserve"> </w:t>
      </w:r>
      <w:r w:rsidRPr="00754AAD">
        <w:rPr>
          <w:rFonts w:ascii="Aptos" w:hAnsi="Aptos" w:cs="Open Sans"/>
        </w:rPr>
        <w:t>because there are no questions related to background, scope, implementation, transition, or SEC Materials guidance, but the sections were amended in the Codification to reflect the clarifications made in the ASU as described above:</w:t>
      </w:r>
    </w:p>
    <w:p w14:paraId="425DBEF8" w14:textId="02505F0C" w:rsidR="002B38DE" w:rsidRPr="00754AAD" w:rsidRDefault="00483BFC" w:rsidP="00E2495C">
      <w:pPr>
        <w:pStyle w:val="PABullet1"/>
        <w:numPr>
          <w:ilvl w:val="0"/>
          <w:numId w:val="9"/>
        </w:numPr>
        <w:spacing w:before="240" w:after="240"/>
        <w:ind w:left="720"/>
        <w:rPr>
          <w:rFonts w:ascii="Aptos" w:hAnsi="Aptos" w:cs="Open Sans"/>
        </w:rPr>
      </w:pPr>
      <w:hyperlink r:id="rId18" w:history="1">
        <w:r w:rsidR="002B38DE" w:rsidRPr="00754AAD">
          <w:rPr>
            <w:rStyle w:val="Hyperlink"/>
            <w:rFonts w:ascii="Aptos" w:hAnsi="Aptos" w:cs="Open Sans"/>
          </w:rPr>
          <w:t>805-10-55</w:t>
        </w:r>
      </w:hyperlink>
      <w:r w:rsidR="002B38DE" w:rsidRPr="00754AAD">
        <w:rPr>
          <w:rFonts w:ascii="Aptos" w:eastAsia="Verdana" w:hAnsi="Aptos" w:cs="Open Sans"/>
          <w:color w:val="auto"/>
          <w:szCs w:val="22"/>
          <w:shd w:val="clear" w:color="auto" w:fill="auto"/>
          <w:lang w:val="en-US"/>
        </w:rPr>
        <w:t xml:space="preserve">, </w:t>
      </w:r>
      <w:r w:rsidR="002B38DE" w:rsidRPr="00754AAD">
        <w:rPr>
          <w:rFonts w:ascii="Aptos" w:eastAsia="Verdana" w:hAnsi="Aptos" w:cs="Open Sans"/>
          <w:i/>
          <w:iCs/>
          <w:color w:val="auto"/>
          <w:szCs w:val="22"/>
          <w:shd w:val="clear" w:color="auto" w:fill="auto"/>
          <w:lang w:val="en-US"/>
        </w:rPr>
        <w:t xml:space="preserve">Business Combinations </w:t>
      </w:r>
      <w:r w:rsidR="00B60CDC" w:rsidRPr="00754AAD">
        <w:rPr>
          <w:rFonts w:ascii="Aptos" w:eastAsia="Verdana" w:hAnsi="Aptos" w:cs="Open Sans"/>
          <w:i/>
          <w:iCs/>
          <w:color w:val="auto"/>
          <w:szCs w:val="22"/>
          <w:shd w:val="clear" w:color="auto" w:fill="auto"/>
          <w:lang w:val="en-US"/>
        </w:rPr>
        <w:t>—</w:t>
      </w:r>
      <w:r w:rsidR="002B38DE" w:rsidRPr="00754AAD">
        <w:rPr>
          <w:rFonts w:ascii="Aptos" w:eastAsia="Verdana" w:hAnsi="Aptos" w:cs="Open Sans"/>
          <w:i/>
          <w:iCs/>
          <w:color w:val="auto"/>
          <w:szCs w:val="22"/>
          <w:shd w:val="clear" w:color="auto" w:fill="auto"/>
          <w:lang w:val="en-US"/>
        </w:rPr>
        <w:t xml:space="preserve"> Overall </w:t>
      </w:r>
      <w:r w:rsidR="00B60CDC" w:rsidRPr="00754AAD">
        <w:rPr>
          <w:rFonts w:ascii="Aptos" w:eastAsia="Verdana" w:hAnsi="Aptos" w:cs="Open Sans"/>
          <w:i/>
          <w:iCs/>
          <w:color w:val="auto"/>
          <w:szCs w:val="22"/>
          <w:shd w:val="clear" w:color="auto" w:fill="auto"/>
          <w:lang w:val="en-US"/>
        </w:rPr>
        <w:t>—</w:t>
      </w:r>
      <w:r w:rsidR="002B38DE" w:rsidRPr="00754AAD">
        <w:rPr>
          <w:rFonts w:ascii="Aptos" w:eastAsia="Verdana" w:hAnsi="Aptos" w:cs="Open Sans"/>
          <w:i/>
          <w:iCs/>
          <w:color w:val="auto"/>
          <w:szCs w:val="22"/>
          <w:shd w:val="clear" w:color="auto" w:fill="auto"/>
          <w:lang w:val="en-US"/>
        </w:rPr>
        <w:t xml:space="preserve"> Implementation Guidance and Illustrations</w:t>
      </w:r>
    </w:p>
    <w:p w14:paraId="3832A6A7" w14:textId="2051A8DB" w:rsidR="002B38DE" w:rsidRPr="00754AAD" w:rsidRDefault="00483BFC" w:rsidP="00E2495C">
      <w:pPr>
        <w:pStyle w:val="PABullet1"/>
        <w:numPr>
          <w:ilvl w:val="0"/>
          <w:numId w:val="9"/>
        </w:numPr>
        <w:spacing w:before="240" w:after="240"/>
        <w:ind w:left="720"/>
        <w:rPr>
          <w:rFonts w:ascii="Aptos" w:hAnsi="Aptos" w:cs="Open Sans"/>
        </w:rPr>
      </w:pPr>
      <w:hyperlink r:id="rId19" w:history="1">
        <w:r w:rsidR="002B38DE" w:rsidRPr="00754AAD">
          <w:rPr>
            <w:rStyle w:val="Hyperlink"/>
            <w:rFonts w:ascii="Aptos" w:hAnsi="Aptos" w:cs="Open Sans"/>
          </w:rPr>
          <w:t>805-10-65</w:t>
        </w:r>
      </w:hyperlink>
      <w:r w:rsidR="002B38DE" w:rsidRPr="00754AAD">
        <w:rPr>
          <w:rFonts w:ascii="Aptos" w:hAnsi="Aptos" w:cs="Open Sans"/>
        </w:rPr>
        <w:t xml:space="preserve">, </w:t>
      </w:r>
      <w:r w:rsidR="002B38DE" w:rsidRPr="00754AAD">
        <w:rPr>
          <w:rFonts w:ascii="Aptos" w:eastAsia="Verdana" w:hAnsi="Aptos" w:cs="Open Sans"/>
          <w:i/>
          <w:iCs/>
          <w:color w:val="auto"/>
          <w:szCs w:val="22"/>
          <w:shd w:val="clear" w:color="auto" w:fill="auto"/>
          <w:lang w:val="en-US"/>
        </w:rPr>
        <w:t xml:space="preserve">Business Combinations </w:t>
      </w:r>
      <w:r w:rsidR="00B60CDC" w:rsidRPr="00754AAD">
        <w:rPr>
          <w:rFonts w:ascii="Aptos" w:eastAsia="Verdana" w:hAnsi="Aptos" w:cs="Open Sans"/>
          <w:i/>
          <w:iCs/>
          <w:color w:val="auto"/>
          <w:szCs w:val="22"/>
          <w:shd w:val="clear" w:color="auto" w:fill="auto"/>
          <w:lang w:val="en-US"/>
        </w:rPr>
        <w:t>—</w:t>
      </w:r>
      <w:r w:rsidR="002B38DE" w:rsidRPr="00754AAD">
        <w:rPr>
          <w:rFonts w:ascii="Aptos" w:eastAsia="Verdana" w:hAnsi="Aptos" w:cs="Open Sans"/>
          <w:i/>
          <w:iCs/>
          <w:color w:val="auto"/>
          <w:szCs w:val="22"/>
          <w:shd w:val="clear" w:color="auto" w:fill="auto"/>
          <w:lang w:val="en-US"/>
        </w:rPr>
        <w:t xml:space="preserve"> Overall </w:t>
      </w:r>
      <w:r w:rsidR="00B60CDC" w:rsidRPr="00754AAD">
        <w:rPr>
          <w:rFonts w:ascii="Aptos" w:eastAsia="Verdana" w:hAnsi="Aptos" w:cs="Open Sans"/>
          <w:i/>
          <w:iCs/>
          <w:color w:val="auto"/>
          <w:szCs w:val="22"/>
          <w:shd w:val="clear" w:color="auto" w:fill="auto"/>
          <w:lang w:val="en-US"/>
        </w:rPr>
        <w:t>—</w:t>
      </w:r>
      <w:r w:rsidR="002B38DE" w:rsidRPr="00754AAD">
        <w:rPr>
          <w:rFonts w:ascii="Aptos" w:eastAsia="Verdana" w:hAnsi="Aptos" w:cs="Open Sans"/>
          <w:i/>
          <w:iCs/>
          <w:color w:val="auto"/>
          <w:szCs w:val="22"/>
          <w:shd w:val="clear" w:color="auto" w:fill="auto"/>
          <w:lang w:val="en-US"/>
        </w:rPr>
        <w:t xml:space="preserve"> Transition and Open Effective Date Information</w:t>
      </w:r>
    </w:p>
    <w:p w14:paraId="38DC4B43" w14:textId="02FD51B4" w:rsidR="002B38DE" w:rsidRPr="00754AAD" w:rsidRDefault="002B38DE" w:rsidP="00860F4B">
      <w:pPr>
        <w:ind w:left="360"/>
        <w:rPr>
          <w:rFonts w:ascii="Aptos" w:hAnsi="Aptos" w:cs="Open Sans"/>
        </w:rPr>
      </w:pPr>
      <w:r w:rsidRPr="00754AAD">
        <w:rPr>
          <w:rFonts w:ascii="Aptos" w:hAnsi="Aptos" w:cs="Open Sans"/>
        </w:rPr>
        <w:t>As a result of this ASU, the following sections have been updated in the U.S. GAAP Checklist:</w:t>
      </w:r>
    </w:p>
    <w:p w14:paraId="604D8A3D" w14:textId="6648AC06" w:rsidR="002B38DE" w:rsidRPr="00754AAD" w:rsidRDefault="00483BFC" w:rsidP="009B4BAE">
      <w:pPr>
        <w:pStyle w:val="PABullet1"/>
        <w:numPr>
          <w:ilvl w:val="0"/>
          <w:numId w:val="9"/>
        </w:numPr>
        <w:spacing w:before="240" w:after="240"/>
        <w:ind w:left="720"/>
        <w:rPr>
          <w:rFonts w:ascii="Aptos" w:hAnsi="Aptos" w:cs="Open Sans"/>
        </w:rPr>
      </w:pPr>
      <w:hyperlink r:id="rId20" w:history="1">
        <w:r w:rsidR="002B38DE" w:rsidRPr="00754AAD">
          <w:rPr>
            <w:rStyle w:val="Hyperlink"/>
            <w:rFonts w:ascii="Aptos" w:hAnsi="Aptos" w:cs="Open Sans"/>
          </w:rPr>
          <w:t>805-10-25</w:t>
        </w:r>
      </w:hyperlink>
      <w:r w:rsidR="002B38DE" w:rsidRPr="00754AAD">
        <w:rPr>
          <w:rFonts w:ascii="Aptos" w:hAnsi="Aptos" w:cs="Open Sans"/>
        </w:rPr>
        <w:t>,</w:t>
      </w:r>
      <w:r w:rsidR="002B38DE" w:rsidRPr="00754AAD">
        <w:rPr>
          <w:rFonts w:ascii="Aptos" w:eastAsia="Verdana" w:hAnsi="Aptos" w:cs="Open Sans"/>
          <w:i/>
          <w:iCs/>
          <w:color w:val="auto"/>
          <w:szCs w:val="22"/>
          <w:shd w:val="clear" w:color="auto" w:fill="auto"/>
          <w:lang w:val="en-US"/>
        </w:rPr>
        <w:t xml:space="preserve"> Business Combinations </w:t>
      </w:r>
      <w:r w:rsidR="00B60CDC" w:rsidRPr="00754AAD">
        <w:rPr>
          <w:rFonts w:ascii="Aptos" w:eastAsia="Verdana" w:hAnsi="Aptos" w:cs="Open Sans"/>
          <w:i/>
          <w:iCs/>
          <w:color w:val="auto"/>
          <w:szCs w:val="22"/>
          <w:shd w:val="clear" w:color="auto" w:fill="auto"/>
          <w:lang w:val="en-US"/>
        </w:rPr>
        <w:t>—</w:t>
      </w:r>
      <w:r w:rsidR="002B38DE" w:rsidRPr="00754AAD">
        <w:rPr>
          <w:rFonts w:ascii="Aptos" w:eastAsia="Verdana" w:hAnsi="Aptos" w:cs="Open Sans"/>
          <w:i/>
          <w:iCs/>
          <w:color w:val="auto"/>
          <w:szCs w:val="22"/>
          <w:shd w:val="clear" w:color="auto" w:fill="auto"/>
          <w:lang w:val="en-US"/>
        </w:rPr>
        <w:t xml:space="preserve"> Overall </w:t>
      </w:r>
      <w:r w:rsidR="00B60CDC" w:rsidRPr="00754AAD">
        <w:rPr>
          <w:rFonts w:ascii="Aptos" w:eastAsia="Verdana" w:hAnsi="Aptos" w:cs="Open Sans"/>
          <w:i/>
          <w:iCs/>
          <w:color w:val="auto"/>
          <w:szCs w:val="22"/>
          <w:shd w:val="clear" w:color="auto" w:fill="auto"/>
          <w:lang w:val="en-US"/>
        </w:rPr>
        <w:t>—</w:t>
      </w:r>
      <w:r w:rsidR="002B38DE" w:rsidRPr="00754AAD">
        <w:rPr>
          <w:rFonts w:ascii="Aptos" w:eastAsia="Verdana" w:hAnsi="Aptos" w:cs="Open Sans"/>
          <w:i/>
          <w:iCs/>
          <w:color w:val="auto"/>
          <w:szCs w:val="22"/>
          <w:shd w:val="clear" w:color="auto" w:fill="auto"/>
          <w:lang w:val="en-US"/>
        </w:rPr>
        <w:t xml:space="preserve"> Recognition</w:t>
      </w:r>
    </w:p>
    <w:p w14:paraId="2F4F65FB" w14:textId="4874057D" w:rsidR="002B38DE" w:rsidRPr="00754AAD" w:rsidRDefault="00483BFC" w:rsidP="009B4BAE">
      <w:pPr>
        <w:pStyle w:val="PABullet1"/>
        <w:numPr>
          <w:ilvl w:val="0"/>
          <w:numId w:val="9"/>
        </w:numPr>
        <w:spacing w:before="240" w:after="240"/>
        <w:ind w:left="720"/>
        <w:rPr>
          <w:rFonts w:ascii="Aptos" w:hAnsi="Aptos" w:cs="Open Sans"/>
        </w:rPr>
      </w:pPr>
      <w:hyperlink r:id="rId21" w:history="1">
        <w:r w:rsidR="002B38DE" w:rsidRPr="00754AAD">
          <w:rPr>
            <w:rStyle w:val="Hyperlink"/>
            <w:rFonts w:ascii="Aptos" w:hAnsi="Aptos" w:cs="Open Sans"/>
          </w:rPr>
          <w:t>805-50-25</w:t>
        </w:r>
      </w:hyperlink>
      <w:r w:rsidR="002B38DE" w:rsidRPr="00754AAD">
        <w:rPr>
          <w:rFonts w:ascii="Aptos" w:hAnsi="Aptos" w:cs="Open Sans"/>
        </w:rPr>
        <w:t>,</w:t>
      </w:r>
      <w:r w:rsidR="002B38DE" w:rsidRPr="00754AAD">
        <w:rPr>
          <w:rFonts w:ascii="Aptos" w:eastAsia="Verdana" w:hAnsi="Aptos" w:cs="Open Sans"/>
          <w:i/>
          <w:iCs/>
          <w:color w:val="auto"/>
          <w:szCs w:val="22"/>
          <w:shd w:val="clear" w:color="auto" w:fill="auto"/>
          <w:lang w:val="en-US"/>
        </w:rPr>
        <w:t xml:space="preserve"> Business Combinations </w:t>
      </w:r>
      <w:r w:rsidR="00B60CDC" w:rsidRPr="00754AAD">
        <w:rPr>
          <w:rFonts w:ascii="Aptos" w:eastAsia="Verdana" w:hAnsi="Aptos" w:cs="Open Sans"/>
          <w:i/>
          <w:iCs/>
          <w:color w:val="auto"/>
          <w:szCs w:val="22"/>
          <w:shd w:val="clear" w:color="auto" w:fill="auto"/>
          <w:lang w:val="en-US"/>
        </w:rPr>
        <w:t>—</w:t>
      </w:r>
      <w:r w:rsidR="002B38DE" w:rsidRPr="00754AAD">
        <w:rPr>
          <w:rFonts w:ascii="Aptos" w:eastAsia="Verdana" w:hAnsi="Aptos" w:cs="Open Sans"/>
          <w:i/>
          <w:iCs/>
          <w:color w:val="auto"/>
          <w:szCs w:val="22"/>
          <w:shd w:val="clear" w:color="auto" w:fill="auto"/>
          <w:lang w:val="en-US"/>
        </w:rPr>
        <w:t xml:space="preserve"> Related Issues </w:t>
      </w:r>
      <w:r w:rsidR="00B60CDC" w:rsidRPr="00754AAD">
        <w:rPr>
          <w:rFonts w:ascii="Aptos" w:eastAsia="Verdana" w:hAnsi="Aptos" w:cs="Open Sans"/>
          <w:i/>
          <w:iCs/>
          <w:color w:val="auto"/>
          <w:szCs w:val="22"/>
          <w:shd w:val="clear" w:color="auto" w:fill="auto"/>
          <w:lang w:val="en-US"/>
        </w:rPr>
        <w:t>—</w:t>
      </w:r>
      <w:r w:rsidR="002B38DE" w:rsidRPr="00754AAD">
        <w:rPr>
          <w:rFonts w:ascii="Aptos" w:eastAsia="Verdana" w:hAnsi="Aptos" w:cs="Open Sans"/>
          <w:i/>
          <w:iCs/>
          <w:color w:val="auto"/>
          <w:szCs w:val="22"/>
          <w:shd w:val="clear" w:color="auto" w:fill="auto"/>
          <w:lang w:val="en-US"/>
        </w:rPr>
        <w:t xml:space="preserve"> Recognition</w:t>
      </w:r>
    </w:p>
    <w:p w14:paraId="0D607FBD" w14:textId="6E30F77E" w:rsidR="002B38DE" w:rsidRPr="00754AAD" w:rsidRDefault="00483BFC" w:rsidP="009B4BAE">
      <w:pPr>
        <w:pStyle w:val="PABullet1"/>
        <w:numPr>
          <w:ilvl w:val="0"/>
          <w:numId w:val="9"/>
        </w:numPr>
        <w:spacing w:before="240" w:after="240"/>
        <w:ind w:left="720"/>
        <w:rPr>
          <w:rFonts w:ascii="Aptos" w:hAnsi="Aptos" w:cs="Open Sans"/>
        </w:rPr>
      </w:pPr>
      <w:hyperlink r:id="rId22" w:history="1">
        <w:r w:rsidR="002B38DE" w:rsidRPr="00754AAD">
          <w:rPr>
            <w:rStyle w:val="Hyperlink"/>
            <w:rFonts w:ascii="Aptos" w:hAnsi="Aptos" w:cs="Open Sans"/>
          </w:rPr>
          <w:t>810-10-30</w:t>
        </w:r>
      </w:hyperlink>
      <w:r w:rsidR="002B38DE" w:rsidRPr="00754AAD">
        <w:rPr>
          <w:rFonts w:ascii="Aptos" w:hAnsi="Aptos" w:cs="Open Sans"/>
        </w:rPr>
        <w:t>,</w:t>
      </w:r>
      <w:r w:rsidR="009B4BAE" w:rsidRPr="00754AAD">
        <w:rPr>
          <w:rFonts w:ascii="Aptos" w:hAnsi="Aptos" w:cs="Open Sans"/>
        </w:rPr>
        <w:t xml:space="preserve"> </w:t>
      </w:r>
      <w:r w:rsidR="009B4BAE" w:rsidRPr="00754AAD">
        <w:rPr>
          <w:rFonts w:ascii="Aptos" w:hAnsi="Aptos" w:cs="Open Sans"/>
          <w:i/>
          <w:iCs/>
        </w:rPr>
        <w:t xml:space="preserve">Consolidation </w:t>
      </w:r>
      <w:r w:rsidR="00B60CDC" w:rsidRPr="00754AAD">
        <w:rPr>
          <w:rFonts w:ascii="Aptos" w:hAnsi="Aptos" w:cs="Open Sans"/>
          <w:i/>
          <w:iCs/>
        </w:rPr>
        <w:t>—</w:t>
      </w:r>
      <w:r w:rsidR="009B4BAE" w:rsidRPr="00754AAD">
        <w:rPr>
          <w:rFonts w:ascii="Aptos" w:hAnsi="Aptos" w:cs="Open Sans"/>
          <w:i/>
          <w:iCs/>
        </w:rPr>
        <w:t xml:space="preserve"> Overall </w:t>
      </w:r>
      <w:r w:rsidR="00B60CDC" w:rsidRPr="00754AAD">
        <w:rPr>
          <w:rFonts w:ascii="Aptos" w:hAnsi="Aptos" w:cs="Open Sans"/>
          <w:i/>
          <w:iCs/>
        </w:rPr>
        <w:t>—</w:t>
      </w:r>
      <w:r w:rsidR="009B4BAE" w:rsidRPr="00754AAD">
        <w:rPr>
          <w:rFonts w:ascii="Aptos" w:hAnsi="Aptos" w:cs="Open Sans"/>
          <w:i/>
          <w:iCs/>
        </w:rPr>
        <w:t xml:space="preserve"> Initial Measurement</w:t>
      </w:r>
    </w:p>
    <w:p w14:paraId="2028FA0F" w14:textId="7A92D763" w:rsidR="002B38DE" w:rsidRPr="00754AAD" w:rsidRDefault="00483BFC" w:rsidP="005E19C3">
      <w:pPr>
        <w:pStyle w:val="PABulletLink75IND"/>
        <w:numPr>
          <w:ilvl w:val="0"/>
          <w:numId w:val="18"/>
        </w:numPr>
        <w:spacing w:before="0" w:after="240"/>
        <w:ind w:left="360"/>
        <w:rPr>
          <w:rStyle w:val="Hyperlink"/>
          <w:rFonts w:ascii="Aptos" w:hAnsi="Aptos" w:cs="Open Sans"/>
          <w:b/>
          <w:iCs/>
        </w:rPr>
      </w:pPr>
      <w:hyperlink r:id="rId23" w:history="1">
        <w:r w:rsidR="002B38DE" w:rsidRPr="00754AAD">
          <w:rPr>
            <w:rStyle w:val="Hyperlink"/>
            <w:rFonts w:ascii="Aptos" w:hAnsi="Aptos" w:cs="Open Sans"/>
            <w:b/>
            <w:iCs/>
          </w:rPr>
          <w:t>2025-04 — Compensation</w:t>
        </w:r>
        <w:r w:rsidR="00B60CDC" w:rsidRPr="00754AAD">
          <w:rPr>
            <w:rStyle w:val="Hyperlink"/>
            <w:rFonts w:ascii="Aptos" w:hAnsi="Aptos" w:cs="Open Sans"/>
            <w:b/>
            <w:iCs/>
          </w:rPr>
          <w:t xml:space="preserve"> </w:t>
        </w:r>
        <w:r w:rsidR="002B38DE" w:rsidRPr="00754AAD">
          <w:rPr>
            <w:rStyle w:val="Hyperlink"/>
            <w:rFonts w:ascii="Aptos" w:hAnsi="Aptos" w:cs="Open Sans"/>
            <w:b/>
            <w:iCs/>
          </w:rPr>
          <w:t>—</w:t>
        </w:r>
        <w:r w:rsidR="00B60CDC" w:rsidRPr="00754AAD">
          <w:rPr>
            <w:rStyle w:val="Hyperlink"/>
            <w:rFonts w:ascii="Aptos" w:hAnsi="Aptos" w:cs="Open Sans"/>
            <w:b/>
            <w:iCs/>
          </w:rPr>
          <w:t xml:space="preserve"> </w:t>
        </w:r>
        <w:r w:rsidR="002B38DE" w:rsidRPr="00754AAD">
          <w:rPr>
            <w:rStyle w:val="Hyperlink"/>
            <w:rFonts w:ascii="Aptos" w:hAnsi="Aptos" w:cs="Open Sans"/>
            <w:b/>
            <w:iCs/>
          </w:rPr>
          <w:t>Stock Compensation (Topic 718) and Revenue from Contracts with Customers (Topic 606): Clarifications to Share-Based Consideration Payable to a Customer</w:t>
        </w:r>
      </w:hyperlink>
      <w:r w:rsidR="002B38DE" w:rsidRPr="00754AAD" w:rsidDel="00BE4072">
        <w:rPr>
          <w:rFonts w:ascii="Aptos" w:hAnsi="Aptos" w:cs="Open Sans"/>
          <w:b/>
          <w:iCs/>
          <w:color w:val="62B5E5"/>
          <w:u w:val="single"/>
        </w:rPr>
        <w:t xml:space="preserve"> </w:t>
      </w:r>
    </w:p>
    <w:p w14:paraId="2A4E0E77" w14:textId="203652D2" w:rsidR="002B38DE" w:rsidRPr="00754AAD" w:rsidRDefault="0016399C" w:rsidP="00860F4B">
      <w:pPr>
        <w:ind w:left="360"/>
        <w:rPr>
          <w:rFonts w:ascii="Aptos" w:hAnsi="Aptos" w:cs="Open Sans"/>
        </w:rPr>
      </w:pPr>
      <w:r w:rsidRPr="00754AAD">
        <w:rPr>
          <w:rFonts w:ascii="Aptos" w:hAnsi="Aptos" w:cs="Open Sans"/>
        </w:rPr>
        <w:t>The following sections have not been updated in the U.S. GAAP Checklist because there are no questions in the U.S. GAAP Checklist related to background, scope, implementation, transition, or SEC Materials guidance, but the sections were amended in the Codification to reflect the clarifications made in the ASUs as described above:</w:t>
      </w:r>
    </w:p>
    <w:p w14:paraId="1F15870F" w14:textId="3AF6A390" w:rsidR="002B38DE" w:rsidRPr="00754AAD" w:rsidRDefault="00483BFC" w:rsidP="0016399C">
      <w:pPr>
        <w:pStyle w:val="PABullet1"/>
        <w:numPr>
          <w:ilvl w:val="0"/>
          <w:numId w:val="9"/>
        </w:numPr>
        <w:spacing w:before="240" w:after="240"/>
        <w:ind w:left="720"/>
        <w:rPr>
          <w:rFonts w:ascii="Aptos" w:hAnsi="Aptos" w:cs="Open Sans"/>
        </w:rPr>
      </w:pPr>
      <w:hyperlink r:id="rId24" w:history="1">
        <w:r w:rsidR="002B38DE" w:rsidRPr="00754AAD">
          <w:rPr>
            <w:rStyle w:val="Hyperlink"/>
            <w:rFonts w:ascii="Aptos" w:hAnsi="Aptos" w:cs="Open Sans"/>
          </w:rPr>
          <w:t>606-10-55</w:t>
        </w:r>
      </w:hyperlink>
      <w:r w:rsidR="002B38DE" w:rsidRPr="00754AAD">
        <w:rPr>
          <w:rFonts w:ascii="Aptos" w:hAnsi="Aptos" w:cs="Open Sans"/>
        </w:rPr>
        <w:t>,</w:t>
      </w:r>
      <w:r w:rsidR="009B4BAE" w:rsidRPr="00754AAD">
        <w:rPr>
          <w:rFonts w:ascii="Aptos" w:hAnsi="Aptos" w:cs="Open Sans"/>
        </w:rPr>
        <w:t xml:space="preserve"> </w:t>
      </w:r>
      <w:r w:rsidR="009B4BAE" w:rsidRPr="00754AAD">
        <w:rPr>
          <w:rFonts w:ascii="Aptos" w:hAnsi="Aptos" w:cs="Open Sans"/>
          <w:i/>
          <w:iCs/>
        </w:rPr>
        <w:t xml:space="preserve">Revenue </w:t>
      </w:r>
      <w:r w:rsidR="00DF7DCF" w:rsidRPr="00754AAD">
        <w:rPr>
          <w:rFonts w:ascii="Aptos" w:hAnsi="Aptos" w:cs="Open Sans"/>
          <w:i/>
          <w:iCs/>
        </w:rPr>
        <w:t>f</w:t>
      </w:r>
      <w:r w:rsidR="009B4BAE" w:rsidRPr="00754AAD">
        <w:rPr>
          <w:rFonts w:ascii="Aptos" w:hAnsi="Aptos" w:cs="Open Sans"/>
          <w:i/>
          <w:iCs/>
        </w:rPr>
        <w:t xml:space="preserve">rom Contracts </w:t>
      </w:r>
      <w:r w:rsidR="00DF7DCF" w:rsidRPr="00754AAD">
        <w:rPr>
          <w:rFonts w:ascii="Aptos" w:hAnsi="Aptos" w:cs="Open Sans"/>
          <w:i/>
          <w:iCs/>
        </w:rPr>
        <w:t>w</w:t>
      </w:r>
      <w:r w:rsidR="009B4BAE" w:rsidRPr="00754AAD">
        <w:rPr>
          <w:rFonts w:ascii="Aptos" w:hAnsi="Aptos" w:cs="Open Sans"/>
          <w:i/>
          <w:iCs/>
        </w:rPr>
        <w:t xml:space="preserve">ith Customers </w:t>
      </w:r>
      <w:r w:rsidR="002403B1" w:rsidRPr="00754AAD">
        <w:rPr>
          <w:rFonts w:ascii="Aptos" w:hAnsi="Aptos" w:cs="Open Sans"/>
          <w:i/>
          <w:iCs/>
        </w:rPr>
        <w:t>—</w:t>
      </w:r>
      <w:r w:rsidR="009B4BAE" w:rsidRPr="00754AAD">
        <w:rPr>
          <w:rFonts w:ascii="Aptos" w:hAnsi="Aptos" w:cs="Open Sans"/>
          <w:i/>
          <w:iCs/>
        </w:rPr>
        <w:t xml:space="preserve"> Overall </w:t>
      </w:r>
      <w:r w:rsidR="002403B1" w:rsidRPr="00754AAD">
        <w:rPr>
          <w:rFonts w:ascii="Aptos" w:hAnsi="Aptos" w:cs="Open Sans"/>
          <w:i/>
          <w:iCs/>
        </w:rPr>
        <w:t>—</w:t>
      </w:r>
      <w:r w:rsidR="009B4BAE" w:rsidRPr="00754AAD">
        <w:rPr>
          <w:rFonts w:ascii="Aptos" w:hAnsi="Aptos" w:cs="Open Sans"/>
          <w:i/>
          <w:iCs/>
        </w:rPr>
        <w:t xml:space="preserve"> </w:t>
      </w:r>
      <w:r w:rsidR="009B4BAE" w:rsidRPr="00754AAD">
        <w:rPr>
          <w:rFonts w:ascii="Aptos" w:eastAsia="Verdana" w:hAnsi="Aptos" w:cs="Open Sans"/>
          <w:i/>
          <w:iCs/>
          <w:color w:val="auto"/>
          <w:szCs w:val="22"/>
          <w:shd w:val="clear" w:color="auto" w:fill="auto"/>
          <w:lang w:val="en-US"/>
        </w:rPr>
        <w:t>Implementation Guidance and Illustrations</w:t>
      </w:r>
    </w:p>
    <w:p w14:paraId="3AE4B2C9" w14:textId="0BF29C55" w:rsidR="002B38DE" w:rsidRPr="00754AAD" w:rsidRDefault="00483BFC" w:rsidP="0016399C">
      <w:pPr>
        <w:pStyle w:val="PABullet1"/>
        <w:numPr>
          <w:ilvl w:val="0"/>
          <w:numId w:val="9"/>
        </w:numPr>
        <w:spacing w:before="240" w:after="240"/>
        <w:ind w:left="720"/>
        <w:rPr>
          <w:rFonts w:ascii="Aptos" w:hAnsi="Aptos" w:cs="Open Sans"/>
        </w:rPr>
      </w:pPr>
      <w:hyperlink r:id="rId25" w:history="1">
        <w:r w:rsidR="002B38DE" w:rsidRPr="00754AAD">
          <w:rPr>
            <w:rStyle w:val="Hyperlink"/>
            <w:rFonts w:ascii="Aptos" w:hAnsi="Aptos" w:cs="Open Sans"/>
          </w:rPr>
          <w:t>606-10-65</w:t>
        </w:r>
      </w:hyperlink>
      <w:r w:rsidR="002B38DE" w:rsidRPr="00754AAD">
        <w:rPr>
          <w:rFonts w:ascii="Aptos" w:hAnsi="Aptos" w:cs="Open Sans"/>
        </w:rPr>
        <w:t>,</w:t>
      </w:r>
      <w:r w:rsidR="009B4BAE" w:rsidRPr="00754AAD">
        <w:rPr>
          <w:rFonts w:ascii="Aptos" w:hAnsi="Aptos" w:cs="Open Sans"/>
          <w:i/>
          <w:iCs/>
        </w:rPr>
        <w:t xml:space="preserve"> Revenue </w:t>
      </w:r>
      <w:r w:rsidR="00DF7DCF" w:rsidRPr="00754AAD">
        <w:rPr>
          <w:rFonts w:ascii="Aptos" w:hAnsi="Aptos" w:cs="Open Sans"/>
          <w:i/>
          <w:iCs/>
        </w:rPr>
        <w:t>f</w:t>
      </w:r>
      <w:r w:rsidR="009B4BAE" w:rsidRPr="00754AAD">
        <w:rPr>
          <w:rFonts w:ascii="Aptos" w:hAnsi="Aptos" w:cs="Open Sans"/>
          <w:i/>
          <w:iCs/>
        </w:rPr>
        <w:t xml:space="preserve">rom Contracts </w:t>
      </w:r>
      <w:r w:rsidR="00DF7DCF" w:rsidRPr="00754AAD">
        <w:rPr>
          <w:rFonts w:ascii="Aptos" w:hAnsi="Aptos" w:cs="Open Sans"/>
          <w:i/>
          <w:iCs/>
        </w:rPr>
        <w:t>w</w:t>
      </w:r>
      <w:r w:rsidR="009B4BAE" w:rsidRPr="00754AAD">
        <w:rPr>
          <w:rFonts w:ascii="Aptos" w:hAnsi="Aptos" w:cs="Open Sans"/>
          <w:i/>
          <w:iCs/>
        </w:rPr>
        <w:t xml:space="preserve">ith Customers </w:t>
      </w:r>
      <w:r w:rsidR="002403B1" w:rsidRPr="00754AAD">
        <w:rPr>
          <w:rFonts w:ascii="Aptos" w:hAnsi="Aptos" w:cs="Open Sans"/>
          <w:i/>
          <w:iCs/>
        </w:rPr>
        <w:t>—</w:t>
      </w:r>
      <w:r w:rsidR="009B4BAE" w:rsidRPr="00754AAD">
        <w:rPr>
          <w:rFonts w:ascii="Aptos" w:hAnsi="Aptos" w:cs="Open Sans"/>
          <w:i/>
          <w:iCs/>
        </w:rPr>
        <w:t xml:space="preserve"> Overall </w:t>
      </w:r>
      <w:r w:rsidR="002403B1" w:rsidRPr="00754AAD">
        <w:rPr>
          <w:rFonts w:ascii="Aptos" w:hAnsi="Aptos" w:cs="Open Sans"/>
          <w:i/>
          <w:iCs/>
        </w:rPr>
        <w:t>—</w:t>
      </w:r>
      <w:r w:rsidR="009B4BAE" w:rsidRPr="00754AAD">
        <w:rPr>
          <w:rFonts w:ascii="Aptos" w:hAnsi="Aptos" w:cs="Open Sans"/>
          <w:i/>
          <w:iCs/>
        </w:rPr>
        <w:t xml:space="preserve"> </w:t>
      </w:r>
      <w:r w:rsidR="009B4BAE" w:rsidRPr="00754AAD">
        <w:rPr>
          <w:rFonts w:ascii="Aptos" w:eastAsia="Verdana" w:hAnsi="Aptos" w:cs="Open Sans"/>
          <w:i/>
          <w:iCs/>
          <w:color w:val="auto"/>
          <w:szCs w:val="22"/>
          <w:shd w:val="clear" w:color="auto" w:fill="auto"/>
          <w:lang w:val="en-US"/>
        </w:rPr>
        <w:t>Transition and Open Effective Date Information</w:t>
      </w:r>
    </w:p>
    <w:p w14:paraId="21E36337" w14:textId="1E9A9579" w:rsidR="002B38DE" w:rsidRPr="00754AAD" w:rsidRDefault="00483BFC" w:rsidP="0016399C">
      <w:pPr>
        <w:pStyle w:val="PABullet1"/>
        <w:numPr>
          <w:ilvl w:val="0"/>
          <w:numId w:val="9"/>
        </w:numPr>
        <w:spacing w:before="240" w:after="240"/>
        <w:ind w:left="720"/>
        <w:rPr>
          <w:rFonts w:ascii="Aptos" w:hAnsi="Aptos" w:cs="Open Sans"/>
        </w:rPr>
      </w:pPr>
      <w:hyperlink r:id="rId26" w:history="1">
        <w:r w:rsidR="002B38DE" w:rsidRPr="00754AAD">
          <w:rPr>
            <w:rStyle w:val="Hyperlink"/>
            <w:rFonts w:ascii="Aptos" w:hAnsi="Aptos" w:cs="Open Sans"/>
          </w:rPr>
          <w:t>718-10-15</w:t>
        </w:r>
      </w:hyperlink>
      <w:r w:rsidR="002B38DE" w:rsidRPr="00754AAD">
        <w:rPr>
          <w:rFonts w:ascii="Aptos" w:hAnsi="Aptos" w:cs="Open Sans"/>
        </w:rPr>
        <w:t xml:space="preserve">, </w:t>
      </w:r>
      <w:r w:rsidR="009B4BAE" w:rsidRPr="00754AAD">
        <w:rPr>
          <w:rFonts w:ascii="Aptos" w:hAnsi="Aptos" w:cs="Open Sans"/>
          <w:i/>
          <w:iCs/>
        </w:rPr>
        <w:t xml:space="preserve">Compensation — Stock Compensation </w:t>
      </w:r>
      <w:r w:rsidR="002403B1" w:rsidRPr="00754AAD">
        <w:rPr>
          <w:rFonts w:ascii="Aptos" w:hAnsi="Aptos" w:cs="Open Sans"/>
          <w:i/>
          <w:iCs/>
        </w:rPr>
        <w:t>—</w:t>
      </w:r>
      <w:r w:rsidR="009B4BAE" w:rsidRPr="00754AAD">
        <w:rPr>
          <w:rFonts w:ascii="Aptos" w:hAnsi="Aptos" w:cs="Open Sans"/>
          <w:i/>
          <w:iCs/>
        </w:rPr>
        <w:t xml:space="preserve"> Overall </w:t>
      </w:r>
      <w:r w:rsidR="002403B1" w:rsidRPr="00754AAD">
        <w:rPr>
          <w:rFonts w:ascii="Aptos" w:hAnsi="Aptos" w:cs="Open Sans"/>
          <w:i/>
          <w:iCs/>
        </w:rPr>
        <w:t>—</w:t>
      </w:r>
      <w:r w:rsidR="009B4BAE" w:rsidRPr="00754AAD">
        <w:rPr>
          <w:rFonts w:ascii="Aptos" w:hAnsi="Aptos" w:cs="Open Sans"/>
          <w:i/>
          <w:iCs/>
        </w:rPr>
        <w:t xml:space="preserve"> Scope and Scope Exceptions</w:t>
      </w:r>
    </w:p>
    <w:p w14:paraId="3EC15235" w14:textId="77777777" w:rsidR="002B38DE" w:rsidRPr="00754AAD" w:rsidRDefault="002B38DE" w:rsidP="00860F4B">
      <w:pPr>
        <w:ind w:left="360"/>
        <w:rPr>
          <w:rFonts w:ascii="Aptos" w:hAnsi="Aptos" w:cs="Open Sans"/>
        </w:rPr>
      </w:pPr>
      <w:r w:rsidRPr="00754AAD">
        <w:rPr>
          <w:rFonts w:ascii="Aptos" w:hAnsi="Aptos" w:cs="Open Sans"/>
        </w:rPr>
        <w:t>As a result of this ASU, the following sections have been updated in the U.S. GAAP Checklist:</w:t>
      </w:r>
    </w:p>
    <w:p w14:paraId="363080EE" w14:textId="721C5406" w:rsidR="002B38DE" w:rsidRPr="00754AAD" w:rsidRDefault="00483BFC" w:rsidP="00B46CA7">
      <w:pPr>
        <w:pStyle w:val="PABullet1"/>
        <w:numPr>
          <w:ilvl w:val="0"/>
          <w:numId w:val="9"/>
        </w:numPr>
        <w:spacing w:before="240" w:after="240"/>
        <w:ind w:left="720"/>
        <w:jc w:val="both"/>
        <w:rPr>
          <w:rFonts w:ascii="Aptos" w:hAnsi="Aptos" w:cs="Open Sans"/>
        </w:rPr>
      </w:pPr>
      <w:hyperlink r:id="rId27" w:history="1">
        <w:r w:rsidR="002B38DE" w:rsidRPr="00754AAD">
          <w:rPr>
            <w:rStyle w:val="Hyperlink"/>
            <w:rFonts w:ascii="Aptos" w:hAnsi="Aptos" w:cs="Open Sans"/>
          </w:rPr>
          <w:t>606-10-32</w:t>
        </w:r>
      </w:hyperlink>
      <w:r w:rsidR="002B38DE" w:rsidRPr="00754AAD">
        <w:rPr>
          <w:rFonts w:ascii="Aptos" w:hAnsi="Aptos" w:cs="Open Sans"/>
        </w:rPr>
        <w:t xml:space="preserve">, </w:t>
      </w:r>
      <w:r w:rsidR="009B4BAE" w:rsidRPr="00754AAD">
        <w:rPr>
          <w:rFonts w:ascii="Aptos" w:hAnsi="Aptos" w:cs="Open Sans"/>
          <w:i/>
          <w:iCs/>
        </w:rPr>
        <w:t xml:space="preserve">Revenue </w:t>
      </w:r>
      <w:r w:rsidR="00DF7DCF" w:rsidRPr="00754AAD">
        <w:rPr>
          <w:rFonts w:ascii="Aptos" w:hAnsi="Aptos" w:cs="Open Sans"/>
          <w:i/>
          <w:iCs/>
        </w:rPr>
        <w:t>f</w:t>
      </w:r>
      <w:r w:rsidR="009B4BAE" w:rsidRPr="00754AAD">
        <w:rPr>
          <w:rFonts w:ascii="Aptos" w:hAnsi="Aptos" w:cs="Open Sans"/>
          <w:i/>
          <w:iCs/>
        </w:rPr>
        <w:t xml:space="preserve">rom Contracts </w:t>
      </w:r>
      <w:r w:rsidR="00DF7DCF" w:rsidRPr="00754AAD">
        <w:rPr>
          <w:rFonts w:ascii="Aptos" w:hAnsi="Aptos" w:cs="Open Sans"/>
          <w:i/>
          <w:iCs/>
        </w:rPr>
        <w:t>w</w:t>
      </w:r>
      <w:r w:rsidR="009B4BAE" w:rsidRPr="00754AAD">
        <w:rPr>
          <w:rFonts w:ascii="Aptos" w:hAnsi="Aptos" w:cs="Open Sans"/>
          <w:i/>
          <w:iCs/>
        </w:rPr>
        <w:t xml:space="preserve">ith Customers </w:t>
      </w:r>
      <w:r w:rsidR="002403B1" w:rsidRPr="00754AAD">
        <w:rPr>
          <w:rFonts w:ascii="Aptos" w:hAnsi="Aptos" w:cs="Open Sans"/>
          <w:i/>
          <w:iCs/>
        </w:rPr>
        <w:t>—</w:t>
      </w:r>
      <w:r w:rsidR="009B4BAE" w:rsidRPr="00754AAD">
        <w:rPr>
          <w:rFonts w:ascii="Aptos" w:hAnsi="Aptos" w:cs="Open Sans"/>
          <w:i/>
          <w:iCs/>
        </w:rPr>
        <w:t xml:space="preserve"> Overall </w:t>
      </w:r>
      <w:r w:rsidR="002403B1" w:rsidRPr="00754AAD">
        <w:rPr>
          <w:rFonts w:ascii="Aptos" w:hAnsi="Aptos" w:cs="Open Sans"/>
          <w:i/>
          <w:iCs/>
        </w:rPr>
        <w:t>—</w:t>
      </w:r>
      <w:r w:rsidR="009B4BAE" w:rsidRPr="00754AAD">
        <w:rPr>
          <w:rFonts w:ascii="Aptos" w:hAnsi="Aptos" w:cs="Open Sans"/>
          <w:i/>
          <w:iCs/>
        </w:rPr>
        <w:t xml:space="preserve"> Measurement</w:t>
      </w:r>
    </w:p>
    <w:p w14:paraId="2B7797BF" w14:textId="2C579151" w:rsidR="002B38DE" w:rsidRPr="00754AAD" w:rsidRDefault="00483BFC" w:rsidP="009B4BAE">
      <w:pPr>
        <w:pStyle w:val="PABullet1"/>
        <w:numPr>
          <w:ilvl w:val="0"/>
          <w:numId w:val="9"/>
        </w:numPr>
        <w:spacing w:before="240" w:after="240"/>
        <w:ind w:left="720"/>
        <w:rPr>
          <w:rFonts w:ascii="Aptos" w:hAnsi="Aptos" w:cs="Open Sans"/>
        </w:rPr>
      </w:pPr>
      <w:hyperlink r:id="rId28" w:history="1">
        <w:r w:rsidR="002B38DE" w:rsidRPr="00754AAD">
          <w:rPr>
            <w:rStyle w:val="Hyperlink"/>
            <w:rFonts w:ascii="Aptos" w:hAnsi="Aptos" w:cs="Open Sans"/>
          </w:rPr>
          <w:t>718-10-35</w:t>
        </w:r>
      </w:hyperlink>
      <w:r w:rsidR="002B38DE" w:rsidRPr="00754AAD">
        <w:rPr>
          <w:rFonts w:ascii="Aptos" w:hAnsi="Aptos" w:cs="Open Sans"/>
        </w:rPr>
        <w:t>,</w:t>
      </w:r>
      <w:r w:rsidR="009B4BAE" w:rsidRPr="00754AAD">
        <w:rPr>
          <w:rFonts w:ascii="Aptos" w:hAnsi="Aptos" w:cs="Open Sans"/>
        </w:rPr>
        <w:t xml:space="preserve"> </w:t>
      </w:r>
      <w:r w:rsidR="009B4BAE" w:rsidRPr="00754AAD">
        <w:rPr>
          <w:rFonts w:ascii="Aptos" w:hAnsi="Aptos" w:cs="Open Sans"/>
          <w:i/>
          <w:iCs/>
        </w:rPr>
        <w:t xml:space="preserve">Compensation — Stock Compensation </w:t>
      </w:r>
      <w:r w:rsidR="002403B1" w:rsidRPr="00754AAD">
        <w:rPr>
          <w:rFonts w:ascii="Aptos" w:hAnsi="Aptos" w:cs="Open Sans"/>
          <w:i/>
          <w:iCs/>
        </w:rPr>
        <w:t>—</w:t>
      </w:r>
      <w:r w:rsidR="009B4BAE" w:rsidRPr="00754AAD">
        <w:rPr>
          <w:rFonts w:ascii="Aptos" w:hAnsi="Aptos" w:cs="Open Sans"/>
          <w:i/>
          <w:iCs/>
        </w:rPr>
        <w:t xml:space="preserve"> Overall </w:t>
      </w:r>
      <w:r w:rsidR="002403B1" w:rsidRPr="00754AAD">
        <w:rPr>
          <w:rFonts w:ascii="Aptos" w:hAnsi="Aptos" w:cs="Open Sans"/>
          <w:i/>
          <w:iCs/>
        </w:rPr>
        <w:t>—</w:t>
      </w:r>
      <w:r w:rsidR="009B4BAE" w:rsidRPr="00754AAD">
        <w:rPr>
          <w:rFonts w:ascii="Aptos" w:hAnsi="Aptos" w:cs="Open Sans"/>
          <w:i/>
          <w:iCs/>
        </w:rPr>
        <w:t xml:space="preserve"> Subsequent Measurement</w:t>
      </w:r>
    </w:p>
    <w:p w14:paraId="24B7B3E0" w14:textId="77777777" w:rsidR="002403B1" w:rsidRPr="00754AAD" w:rsidRDefault="002403B1">
      <w:pPr>
        <w:widowControl/>
        <w:autoSpaceDE/>
        <w:autoSpaceDN/>
        <w:spacing w:after="0" w:line="240" w:lineRule="auto"/>
        <w:rPr>
          <w:rFonts w:ascii="Aptos" w:eastAsiaTheme="minorHAnsi" w:hAnsi="Aptos" w:cs="Open Sans"/>
          <w:color w:val="000000"/>
          <w:szCs w:val="18"/>
          <w:shd w:val="clear" w:color="auto" w:fill="FFFFFF"/>
          <w:lang w:val="en-GB"/>
        </w:rPr>
        <w:sectPr w:rsidR="002403B1" w:rsidRPr="00754AAD" w:rsidSect="00FD4ACE">
          <w:headerReference w:type="default" r:id="rId29"/>
          <w:footerReference w:type="default" r:id="rId30"/>
          <w:pgSz w:w="12240" w:h="15840"/>
          <w:pgMar w:top="1440" w:right="1440" w:bottom="1440" w:left="1440" w:header="720" w:footer="720" w:gutter="0"/>
          <w:cols w:space="720"/>
          <w:titlePg/>
          <w:docGrid w:linePitch="360"/>
        </w:sectPr>
      </w:pPr>
    </w:p>
    <w:p w14:paraId="53FF8926" w14:textId="32AFDD36" w:rsidR="002403B1" w:rsidRPr="00754AAD" w:rsidRDefault="002403B1">
      <w:pPr>
        <w:widowControl/>
        <w:autoSpaceDE/>
        <w:autoSpaceDN/>
        <w:spacing w:after="0" w:line="240" w:lineRule="auto"/>
        <w:rPr>
          <w:rFonts w:ascii="Aptos" w:eastAsiaTheme="minorHAnsi" w:hAnsi="Aptos" w:cs="Open Sans"/>
          <w:color w:val="000000"/>
          <w:szCs w:val="18"/>
          <w:shd w:val="clear" w:color="auto" w:fill="FFFFFF"/>
          <w:lang w:val="en-GB"/>
        </w:rPr>
      </w:pPr>
    </w:p>
    <w:p w14:paraId="737FE8F9" w14:textId="77777777" w:rsidR="0016399C" w:rsidRPr="00754AAD" w:rsidRDefault="0016399C" w:rsidP="004F2E23">
      <w:pPr>
        <w:pStyle w:val="PABullet1"/>
        <w:spacing w:before="240" w:after="240"/>
        <w:rPr>
          <w:rFonts w:ascii="Aptos" w:hAnsi="Aptos" w:cs="Open Sans"/>
        </w:rPr>
      </w:pPr>
    </w:p>
    <w:p w14:paraId="2FD3B495" w14:textId="77777777" w:rsidR="00031ADF" w:rsidRPr="00754AAD" w:rsidRDefault="00031ADF" w:rsidP="00F70CD0">
      <w:pPr>
        <w:spacing w:line="180" w:lineRule="atLeast"/>
        <w:ind w:right="5386"/>
        <w:rPr>
          <w:rFonts w:ascii="Aptos" w:hAnsi="Aptos" w:cs="Open Sans"/>
          <w:b/>
          <w:sz w:val="16"/>
          <w:szCs w:val="16"/>
        </w:rPr>
      </w:pPr>
    </w:p>
    <w:p w14:paraId="413B3DDE" w14:textId="77777777" w:rsidR="002403B1" w:rsidRPr="00754AAD" w:rsidRDefault="002403B1" w:rsidP="00F70CD0">
      <w:pPr>
        <w:spacing w:line="180" w:lineRule="atLeast"/>
        <w:ind w:right="5386"/>
        <w:rPr>
          <w:rFonts w:ascii="Aptos" w:hAnsi="Aptos" w:cs="Open Sans"/>
          <w:b/>
          <w:sz w:val="16"/>
          <w:szCs w:val="16"/>
        </w:rPr>
      </w:pPr>
    </w:p>
    <w:p w14:paraId="1D9A5825" w14:textId="77777777" w:rsidR="002403B1" w:rsidRPr="00754AAD" w:rsidRDefault="002403B1" w:rsidP="00F70CD0">
      <w:pPr>
        <w:spacing w:line="180" w:lineRule="atLeast"/>
        <w:ind w:right="5386"/>
        <w:rPr>
          <w:rFonts w:ascii="Aptos" w:hAnsi="Aptos" w:cs="Open Sans"/>
          <w:b/>
          <w:sz w:val="16"/>
          <w:szCs w:val="16"/>
        </w:rPr>
      </w:pPr>
    </w:p>
    <w:p w14:paraId="5B3516DB" w14:textId="77777777" w:rsidR="002403B1" w:rsidRPr="00754AAD" w:rsidRDefault="002403B1" w:rsidP="00F70CD0">
      <w:pPr>
        <w:spacing w:line="180" w:lineRule="atLeast"/>
        <w:ind w:right="5386"/>
        <w:rPr>
          <w:rFonts w:ascii="Aptos" w:hAnsi="Aptos" w:cs="Open Sans"/>
          <w:b/>
          <w:sz w:val="16"/>
          <w:szCs w:val="16"/>
        </w:rPr>
      </w:pPr>
    </w:p>
    <w:p w14:paraId="47F416FA" w14:textId="77777777" w:rsidR="002403B1" w:rsidRPr="00754AAD" w:rsidRDefault="002403B1" w:rsidP="00F70CD0">
      <w:pPr>
        <w:spacing w:line="180" w:lineRule="atLeast"/>
        <w:ind w:right="5386"/>
        <w:rPr>
          <w:rFonts w:ascii="Aptos" w:hAnsi="Aptos" w:cs="Open Sans"/>
          <w:b/>
          <w:sz w:val="16"/>
          <w:szCs w:val="16"/>
        </w:rPr>
      </w:pPr>
    </w:p>
    <w:p w14:paraId="481D324B" w14:textId="77777777" w:rsidR="002403B1" w:rsidRPr="00754AAD" w:rsidRDefault="002403B1" w:rsidP="00F70CD0">
      <w:pPr>
        <w:spacing w:line="180" w:lineRule="atLeast"/>
        <w:ind w:right="5386"/>
        <w:rPr>
          <w:rFonts w:ascii="Aptos" w:hAnsi="Aptos" w:cs="Open Sans"/>
          <w:b/>
          <w:sz w:val="16"/>
          <w:szCs w:val="16"/>
        </w:rPr>
      </w:pPr>
    </w:p>
    <w:p w14:paraId="5383CD53" w14:textId="77777777" w:rsidR="002403B1" w:rsidRPr="00754AAD" w:rsidRDefault="002403B1" w:rsidP="00F70CD0">
      <w:pPr>
        <w:spacing w:line="180" w:lineRule="atLeast"/>
        <w:ind w:right="5386"/>
        <w:rPr>
          <w:rFonts w:ascii="Aptos" w:hAnsi="Aptos" w:cs="Open Sans"/>
          <w:b/>
          <w:sz w:val="16"/>
          <w:szCs w:val="16"/>
        </w:rPr>
      </w:pPr>
    </w:p>
    <w:p w14:paraId="2760BBC5" w14:textId="77777777" w:rsidR="002403B1" w:rsidRPr="00754AAD" w:rsidRDefault="002403B1" w:rsidP="00F70CD0">
      <w:pPr>
        <w:spacing w:line="180" w:lineRule="atLeast"/>
        <w:ind w:right="5386"/>
        <w:rPr>
          <w:rFonts w:ascii="Aptos" w:hAnsi="Aptos" w:cs="Open Sans"/>
          <w:b/>
          <w:sz w:val="16"/>
          <w:szCs w:val="16"/>
        </w:rPr>
      </w:pPr>
    </w:p>
    <w:p w14:paraId="644ED91D" w14:textId="77777777" w:rsidR="002403B1" w:rsidRPr="00754AAD" w:rsidRDefault="002403B1" w:rsidP="00F70CD0">
      <w:pPr>
        <w:spacing w:line="180" w:lineRule="atLeast"/>
        <w:ind w:right="5386"/>
        <w:rPr>
          <w:rFonts w:ascii="Aptos" w:hAnsi="Aptos" w:cs="Open Sans"/>
          <w:b/>
          <w:sz w:val="16"/>
          <w:szCs w:val="16"/>
        </w:rPr>
      </w:pPr>
    </w:p>
    <w:p w14:paraId="474985CE" w14:textId="77777777" w:rsidR="002403B1" w:rsidRPr="00754AAD" w:rsidRDefault="002403B1" w:rsidP="00F70CD0">
      <w:pPr>
        <w:spacing w:line="180" w:lineRule="atLeast"/>
        <w:ind w:right="5386"/>
        <w:rPr>
          <w:rFonts w:ascii="Aptos" w:hAnsi="Aptos" w:cs="Open Sans"/>
          <w:b/>
          <w:sz w:val="16"/>
          <w:szCs w:val="16"/>
        </w:rPr>
      </w:pPr>
    </w:p>
    <w:p w14:paraId="00AB488D" w14:textId="77777777" w:rsidR="002403B1" w:rsidRPr="00754AAD" w:rsidRDefault="002403B1" w:rsidP="00F70CD0">
      <w:pPr>
        <w:spacing w:line="180" w:lineRule="atLeast"/>
        <w:ind w:right="5386"/>
        <w:rPr>
          <w:rFonts w:ascii="Aptos" w:hAnsi="Aptos" w:cs="Open Sans"/>
          <w:b/>
          <w:sz w:val="16"/>
          <w:szCs w:val="16"/>
        </w:rPr>
      </w:pPr>
    </w:p>
    <w:p w14:paraId="3A382F10" w14:textId="77777777" w:rsidR="002403B1" w:rsidRPr="00754AAD" w:rsidRDefault="002403B1" w:rsidP="00F70CD0">
      <w:pPr>
        <w:spacing w:line="180" w:lineRule="atLeast"/>
        <w:ind w:right="5386"/>
        <w:rPr>
          <w:rFonts w:ascii="Aptos" w:hAnsi="Aptos" w:cs="Open Sans"/>
          <w:b/>
          <w:sz w:val="16"/>
          <w:szCs w:val="16"/>
        </w:rPr>
      </w:pPr>
    </w:p>
    <w:p w14:paraId="5163BDCC" w14:textId="77777777" w:rsidR="002403B1" w:rsidRPr="00754AAD" w:rsidRDefault="002403B1" w:rsidP="00F70CD0">
      <w:pPr>
        <w:spacing w:line="180" w:lineRule="atLeast"/>
        <w:ind w:right="5386"/>
        <w:rPr>
          <w:rFonts w:ascii="Aptos" w:hAnsi="Aptos" w:cs="Open Sans"/>
          <w:b/>
          <w:sz w:val="16"/>
          <w:szCs w:val="16"/>
        </w:rPr>
      </w:pPr>
    </w:p>
    <w:p w14:paraId="58C400BA" w14:textId="77777777" w:rsidR="002403B1" w:rsidRPr="00754AAD" w:rsidRDefault="002403B1" w:rsidP="00F70CD0">
      <w:pPr>
        <w:spacing w:line="180" w:lineRule="atLeast"/>
        <w:ind w:right="5386"/>
        <w:rPr>
          <w:rFonts w:ascii="Aptos" w:hAnsi="Aptos" w:cs="Open Sans"/>
          <w:b/>
          <w:sz w:val="16"/>
          <w:szCs w:val="16"/>
        </w:rPr>
      </w:pPr>
    </w:p>
    <w:p w14:paraId="7F7FDA0D" w14:textId="77777777" w:rsidR="002403B1" w:rsidRPr="00754AAD" w:rsidRDefault="002403B1" w:rsidP="00F70CD0">
      <w:pPr>
        <w:spacing w:line="180" w:lineRule="atLeast"/>
        <w:ind w:right="5386"/>
        <w:rPr>
          <w:rFonts w:ascii="Aptos" w:hAnsi="Aptos" w:cs="Open Sans"/>
          <w:b/>
          <w:sz w:val="16"/>
          <w:szCs w:val="16"/>
        </w:rPr>
      </w:pPr>
    </w:p>
    <w:p w14:paraId="7797206A" w14:textId="77777777" w:rsidR="002403B1" w:rsidRDefault="002403B1" w:rsidP="00F70CD0">
      <w:pPr>
        <w:spacing w:line="180" w:lineRule="atLeast"/>
        <w:ind w:right="5386"/>
        <w:rPr>
          <w:rFonts w:ascii="Aptos" w:hAnsi="Aptos" w:cs="Open Sans"/>
          <w:b/>
          <w:sz w:val="16"/>
          <w:szCs w:val="16"/>
        </w:rPr>
      </w:pPr>
    </w:p>
    <w:p w14:paraId="3729659E" w14:textId="77777777" w:rsidR="00984AC0" w:rsidRDefault="00984AC0" w:rsidP="00F70CD0">
      <w:pPr>
        <w:spacing w:line="180" w:lineRule="atLeast"/>
        <w:ind w:right="5386"/>
        <w:rPr>
          <w:rFonts w:ascii="Aptos" w:hAnsi="Aptos" w:cs="Open Sans"/>
          <w:b/>
          <w:sz w:val="16"/>
          <w:szCs w:val="16"/>
        </w:rPr>
      </w:pPr>
    </w:p>
    <w:p w14:paraId="5123C8F5" w14:textId="77777777" w:rsidR="00984AC0" w:rsidRPr="00754AAD" w:rsidRDefault="00984AC0" w:rsidP="00F70CD0">
      <w:pPr>
        <w:spacing w:line="180" w:lineRule="atLeast"/>
        <w:ind w:right="5386"/>
        <w:rPr>
          <w:rFonts w:ascii="Aptos" w:hAnsi="Aptos" w:cs="Open Sans"/>
          <w:b/>
          <w:sz w:val="16"/>
          <w:szCs w:val="16"/>
        </w:rPr>
      </w:pPr>
    </w:p>
    <w:p w14:paraId="33B37439" w14:textId="77777777" w:rsidR="00EB245C" w:rsidRPr="00754AAD" w:rsidRDefault="00031ADF" w:rsidP="00F70CD0">
      <w:pPr>
        <w:spacing w:line="180" w:lineRule="atLeast"/>
        <w:ind w:right="5386"/>
        <w:rPr>
          <w:rFonts w:ascii="Aptos" w:hAnsi="Aptos" w:cs="Open Sans"/>
          <w:b/>
          <w:sz w:val="16"/>
          <w:szCs w:val="16"/>
        </w:rPr>
      </w:pPr>
      <w:r w:rsidRPr="00754AAD">
        <w:rPr>
          <w:rFonts w:ascii="Aptos" w:hAnsi="Aptos" w:cs="Open Sans"/>
          <w:noProof/>
          <w:sz w:val="20"/>
          <w:szCs w:val="20"/>
        </w:rPr>
        <w:drawing>
          <wp:anchor distT="0" distB="0" distL="114300" distR="114300" simplePos="0" relativeHeight="251671552" behindDoc="1" locked="0" layoutInCell="1" allowOverlap="1" wp14:anchorId="0A927EED" wp14:editId="36BE1ABE">
            <wp:simplePos x="0" y="0"/>
            <wp:positionH relativeFrom="margin">
              <wp:align>left</wp:align>
            </wp:positionH>
            <wp:positionV relativeFrom="paragraph">
              <wp:posOffset>4179</wp:posOffset>
            </wp:positionV>
            <wp:extent cx="1828800" cy="351790"/>
            <wp:effectExtent l="0" t="0" r="0" b="0"/>
            <wp:wrapTight wrapText="bothSides">
              <wp:wrapPolygon edited="0">
                <wp:start x="0" y="0"/>
                <wp:lineTo x="0" y="19884"/>
                <wp:lineTo x="21375" y="19884"/>
                <wp:lineTo x="21375" y="7018"/>
                <wp:lineTo x="168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351790"/>
                    </a:xfrm>
                    <a:prstGeom prst="rect">
                      <a:avLst/>
                    </a:prstGeom>
                    <a:noFill/>
                    <a:ln>
                      <a:noFill/>
                    </a:ln>
                  </pic:spPr>
                </pic:pic>
              </a:graphicData>
            </a:graphic>
          </wp:anchor>
        </w:drawing>
      </w:r>
    </w:p>
    <w:p w14:paraId="4082866F" w14:textId="77777777" w:rsidR="00EB245C" w:rsidRPr="00754AAD" w:rsidRDefault="00EB245C" w:rsidP="00F70CD0">
      <w:pPr>
        <w:spacing w:line="180" w:lineRule="atLeast"/>
        <w:ind w:right="5386"/>
        <w:rPr>
          <w:rFonts w:ascii="Aptos" w:hAnsi="Aptos" w:cs="Open Sans"/>
          <w:b/>
          <w:sz w:val="16"/>
          <w:szCs w:val="16"/>
        </w:rPr>
      </w:pPr>
    </w:p>
    <w:p w14:paraId="7520FAAC" w14:textId="6A6C34E0" w:rsidR="000E7C6E" w:rsidRPr="00754AAD" w:rsidRDefault="000E7C6E" w:rsidP="00F70CD0">
      <w:pPr>
        <w:spacing w:line="180" w:lineRule="atLeast"/>
        <w:ind w:right="5386"/>
        <w:rPr>
          <w:rFonts w:ascii="Aptos" w:hAnsi="Aptos" w:cs="Open Sans"/>
          <w:b/>
          <w:sz w:val="16"/>
          <w:szCs w:val="16"/>
        </w:rPr>
      </w:pPr>
      <w:r w:rsidRPr="00754AAD">
        <w:rPr>
          <w:rFonts w:ascii="Aptos" w:hAnsi="Aptos" w:cs="Open Sans"/>
          <w:b/>
          <w:sz w:val="16"/>
          <w:szCs w:val="16"/>
        </w:rPr>
        <w:t>About Deloitte</w:t>
      </w:r>
    </w:p>
    <w:p w14:paraId="0D3D9791" w14:textId="7433A818" w:rsidR="000E7C6E" w:rsidRPr="00754AAD" w:rsidRDefault="00F73AE9" w:rsidP="00F70CD0">
      <w:pPr>
        <w:spacing w:line="180" w:lineRule="atLeast"/>
        <w:ind w:right="2700"/>
        <w:rPr>
          <w:rFonts w:ascii="Aptos" w:hAnsi="Aptos" w:cs="Open Sans"/>
          <w:sz w:val="16"/>
          <w:szCs w:val="16"/>
        </w:rPr>
      </w:pPr>
      <w:r w:rsidRPr="00754AAD">
        <w:rPr>
          <w:rFonts w:ascii="Aptos" w:hAnsi="Aptos" w:cs="Open Sans"/>
          <w:sz w:val="16"/>
          <w:szCs w:val="16"/>
        </w:rPr>
        <w:t xml:space="preserve">Deloitte refers to one or more of Deloitte Touche Tohmatsu Limited, a UK private company limited by guarantee (“DTTL”), its network of member firms, and their related entities. DTTL and each of its member firms are legally separate and independent entities. DTTL (also referred to as “Deloitte Global”) does not provide services to clients. In the United States, Deloitte refers to one or more of the US member firms of DTTL, their related entities that operate using the “Deloitte” name in the United States and their respective affiliates. Certain services may not be available to attest clients under the rules and regulations of public accounting. Please see </w:t>
      </w:r>
      <w:hyperlink r:id="rId31" w:history="1">
        <w:r w:rsidR="00391875" w:rsidRPr="00754AAD">
          <w:rPr>
            <w:rStyle w:val="Hyperlink"/>
            <w:rFonts w:ascii="Aptos" w:eastAsia="Verdana" w:hAnsi="Aptos" w:cs="Open Sans"/>
            <w:sz w:val="16"/>
            <w:szCs w:val="16"/>
          </w:rPr>
          <w:t>www.deloitte.com/about</w:t>
        </w:r>
      </w:hyperlink>
      <w:r w:rsidRPr="00754AAD">
        <w:rPr>
          <w:rFonts w:ascii="Aptos" w:hAnsi="Aptos" w:cs="Open Sans"/>
          <w:sz w:val="16"/>
          <w:szCs w:val="16"/>
        </w:rPr>
        <w:t xml:space="preserve"> to learn more about our global network of member firms.</w:t>
      </w:r>
    </w:p>
    <w:p w14:paraId="0EEC4B8D" w14:textId="48F1F9EC" w:rsidR="000E7C6E" w:rsidRPr="00754AAD" w:rsidRDefault="000E7C6E" w:rsidP="00030E74">
      <w:pPr>
        <w:spacing w:line="180" w:lineRule="atLeast"/>
        <w:ind w:right="2700"/>
        <w:rPr>
          <w:rFonts w:ascii="Aptos" w:hAnsi="Aptos" w:cs="Open Sans"/>
          <w:sz w:val="16"/>
          <w:szCs w:val="16"/>
        </w:rPr>
      </w:pPr>
      <w:r w:rsidRPr="00754AAD">
        <w:rPr>
          <w:rFonts w:ascii="Aptos" w:hAnsi="Aptos" w:cs="Open Sans"/>
          <w:sz w:val="16"/>
          <w:szCs w:val="16"/>
        </w:rPr>
        <w:t xml:space="preserve">Copyright © </w:t>
      </w:r>
      <w:r w:rsidR="009F62C2" w:rsidRPr="00754AAD">
        <w:rPr>
          <w:rFonts w:ascii="Aptos" w:hAnsi="Aptos" w:cs="Open Sans"/>
          <w:sz w:val="16"/>
          <w:szCs w:val="16"/>
        </w:rPr>
        <w:t>202</w:t>
      </w:r>
      <w:r w:rsidR="005E19C3" w:rsidRPr="00754AAD">
        <w:rPr>
          <w:rFonts w:ascii="Aptos" w:hAnsi="Aptos" w:cs="Open Sans"/>
          <w:sz w:val="16"/>
          <w:szCs w:val="16"/>
        </w:rPr>
        <w:t>5</w:t>
      </w:r>
      <w:r w:rsidR="009F62C2" w:rsidRPr="00754AAD">
        <w:rPr>
          <w:rFonts w:ascii="Aptos" w:hAnsi="Aptos" w:cs="Open Sans"/>
          <w:sz w:val="16"/>
          <w:szCs w:val="16"/>
        </w:rPr>
        <w:t xml:space="preserve"> </w:t>
      </w:r>
      <w:r w:rsidRPr="00754AAD">
        <w:rPr>
          <w:rFonts w:ascii="Aptos" w:hAnsi="Aptos" w:cs="Open Sans"/>
          <w:sz w:val="16"/>
          <w:szCs w:val="16"/>
        </w:rPr>
        <w:t>Deloitte Development LLC. All rights reserved.</w:t>
      </w:r>
    </w:p>
    <w:p w14:paraId="1A1B2AB4" w14:textId="77777777" w:rsidR="00E668C3" w:rsidRPr="00754AAD" w:rsidRDefault="00E668C3" w:rsidP="00030E74">
      <w:pPr>
        <w:pStyle w:val="Legaltext"/>
        <w:ind w:right="2700"/>
        <w:rPr>
          <w:rFonts w:ascii="Aptos" w:hAnsi="Aptos" w:cs="Open Sans"/>
          <w:color w:val="000000" w:themeColor="text1"/>
          <w:sz w:val="16"/>
          <w:szCs w:val="16"/>
          <w:lang w:val="en-US"/>
        </w:rPr>
      </w:pPr>
      <w:r w:rsidRPr="00754AAD">
        <w:rPr>
          <w:rFonts w:ascii="Aptos" w:hAnsi="Aptos" w:cs="Open Sans"/>
          <w:color w:val="000000" w:themeColor="text1"/>
          <w:sz w:val="16"/>
          <w:szCs w:val="16"/>
          <w:lang w:val="en-US"/>
        </w:rPr>
        <w:t>Member of Deloitte Touche Tohmatsu Limited</w:t>
      </w:r>
    </w:p>
    <w:sectPr w:rsidR="00E668C3" w:rsidRPr="00754AAD" w:rsidSect="00FD4AC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E6923" w14:textId="77777777" w:rsidR="00B81114" w:rsidRDefault="00B81114" w:rsidP="00C612CD">
      <w:r>
        <w:separator/>
      </w:r>
    </w:p>
    <w:p w14:paraId="0F743038" w14:textId="77777777" w:rsidR="00B81114" w:rsidRDefault="00B81114" w:rsidP="00C612CD"/>
  </w:endnote>
  <w:endnote w:type="continuationSeparator" w:id="0">
    <w:p w14:paraId="4F8716D4" w14:textId="77777777" w:rsidR="00B81114" w:rsidRDefault="00B81114" w:rsidP="00C612CD">
      <w:r>
        <w:continuationSeparator/>
      </w:r>
    </w:p>
    <w:p w14:paraId="0C839B5C" w14:textId="77777777" w:rsidR="00B81114" w:rsidRDefault="00B81114" w:rsidP="00C612CD"/>
  </w:endnote>
  <w:endnote w:type="continuationNotice" w:id="1">
    <w:p w14:paraId="04DD1E04" w14:textId="77777777" w:rsidR="00B81114" w:rsidRDefault="00B81114"/>
    <w:p w14:paraId="31D51FD3" w14:textId="77777777" w:rsidR="00B81114" w:rsidRDefault="00B811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rutiger Next Pro Light">
    <w:altName w:val="Arial"/>
    <w:panose1 w:val="00000000000000000000"/>
    <w:charset w:val="00"/>
    <w:family w:val="swiss"/>
    <w:notTrueType/>
    <w:pitch w:val="variable"/>
    <w:sig w:usb0="800000AF" w:usb1="5000204B" w:usb2="00000000" w:usb3="00000000" w:csb0="0000009B"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806340"/>
      <w:docPartObj>
        <w:docPartGallery w:val="Page Numbers (Bottom of Page)"/>
        <w:docPartUnique/>
      </w:docPartObj>
    </w:sdtPr>
    <w:sdtEndPr>
      <w:rPr>
        <w:rFonts w:ascii="Aptos" w:hAnsi="Aptos" w:cs="Calibri Light"/>
        <w:noProof/>
        <w:sz w:val="16"/>
      </w:rPr>
    </w:sdtEndPr>
    <w:sdtContent>
      <w:p w14:paraId="4C30DF31" w14:textId="1640D551" w:rsidR="004D475B" w:rsidRPr="00754AAD" w:rsidRDefault="004D475B">
        <w:pPr>
          <w:pStyle w:val="Footer"/>
          <w:rPr>
            <w:rFonts w:ascii="Aptos" w:hAnsi="Aptos" w:cs="Calibri Light"/>
            <w:sz w:val="16"/>
          </w:rPr>
        </w:pPr>
        <w:r w:rsidRPr="00754AAD">
          <w:rPr>
            <w:rFonts w:ascii="Aptos" w:hAnsi="Aptos" w:cs="Calibri Light"/>
            <w:sz w:val="16"/>
          </w:rPr>
          <w:fldChar w:fldCharType="begin"/>
        </w:r>
        <w:r w:rsidRPr="00754AAD">
          <w:rPr>
            <w:rFonts w:ascii="Aptos" w:hAnsi="Aptos" w:cs="Calibri Light"/>
            <w:sz w:val="16"/>
          </w:rPr>
          <w:instrText xml:space="preserve"> PAGE   \* MERGEFORMAT </w:instrText>
        </w:r>
        <w:r w:rsidRPr="00754AAD">
          <w:rPr>
            <w:rFonts w:ascii="Aptos" w:hAnsi="Aptos" w:cs="Calibri Light"/>
            <w:sz w:val="16"/>
          </w:rPr>
          <w:fldChar w:fldCharType="separate"/>
        </w:r>
        <w:r w:rsidRPr="00754AAD">
          <w:rPr>
            <w:rFonts w:ascii="Aptos" w:hAnsi="Aptos" w:cs="Calibri Light"/>
            <w:noProof/>
            <w:sz w:val="16"/>
          </w:rPr>
          <w:t>6</w:t>
        </w:r>
        <w:r w:rsidRPr="00754AAD">
          <w:rPr>
            <w:rFonts w:ascii="Aptos" w:hAnsi="Aptos" w:cs="Calibri Light"/>
            <w:noProof/>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1DE10" w14:textId="77777777" w:rsidR="00B81114" w:rsidRDefault="00B81114" w:rsidP="00C612CD">
      <w:r>
        <w:separator/>
      </w:r>
    </w:p>
  </w:footnote>
  <w:footnote w:type="continuationSeparator" w:id="0">
    <w:p w14:paraId="73F59874" w14:textId="77777777" w:rsidR="00B81114" w:rsidRDefault="00B81114" w:rsidP="00C612CD">
      <w:r>
        <w:continuationSeparator/>
      </w:r>
    </w:p>
  </w:footnote>
  <w:footnote w:type="continuationNotice" w:id="1">
    <w:p w14:paraId="392F9C95" w14:textId="77777777" w:rsidR="00B81114" w:rsidRPr="00DF1F95" w:rsidRDefault="00B81114" w:rsidP="00DF1F95">
      <w:pPr>
        <w:pStyle w:val="Footer"/>
      </w:pPr>
    </w:p>
  </w:footnote>
  <w:footnote w:id="2">
    <w:p w14:paraId="7A965C10" w14:textId="1ED8EE79" w:rsidR="004D475B" w:rsidRPr="00754AAD" w:rsidRDefault="004D475B" w:rsidP="00302B42">
      <w:pPr>
        <w:pStyle w:val="FootnoteText"/>
        <w:rPr>
          <w:rFonts w:ascii="Aptos" w:hAnsi="Aptos" w:cs="Calibri Light"/>
          <w:szCs w:val="16"/>
        </w:rPr>
      </w:pPr>
      <w:r w:rsidRPr="00754AAD">
        <w:rPr>
          <w:rStyle w:val="FootnoteReference"/>
          <w:rFonts w:ascii="Aptos" w:hAnsi="Aptos" w:cs="Calibri Light"/>
          <w:szCs w:val="16"/>
        </w:rPr>
        <w:footnoteRef/>
      </w:r>
      <w:r w:rsidRPr="00754AAD">
        <w:rPr>
          <w:rStyle w:val="FootnoteReference"/>
          <w:rFonts w:ascii="Aptos" w:hAnsi="Aptos" w:cs="Calibri Light"/>
          <w:szCs w:val="16"/>
        </w:rPr>
        <w:t xml:space="preserve"> </w:t>
      </w:r>
      <w:r w:rsidRPr="00754AAD">
        <w:rPr>
          <w:rStyle w:val="FootnoteReference"/>
          <w:rFonts w:ascii="Aptos" w:hAnsi="Aptos" w:cs="Calibri Light"/>
          <w:szCs w:val="16"/>
        </w:rPr>
        <w:tab/>
      </w:r>
      <w:r w:rsidRPr="00754AAD">
        <w:rPr>
          <w:rStyle w:val="FootnoteReference"/>
          <w:rFonts w:ascii="Aptos" w:hAnsi="Aptos" w:cs="Open Sans"/>
          <w:szCs w:val="16"/>
          <w:vertAlign w:val="baseline"/>
        </w:rPr>
        <w:t>Users complete framing questions within the Checklist in the Deloitte Disclosure Analytics suite to</w:t>
      </w:r>
      <w:r w:rsidR="00CC2294" w:rsidRPr="00754AAD">
        <w:rPr>
          <w:rFonts w:ascii="Aptos" w:hAnsi="Aptos" w:cs="Open Sans"/>
          <w:szCs w:val="16"/>
          <w:lang w:val="en-US"/>
        </w:rPr>
        <w:t xml:space="preserve"> </w:t>
      </w:r>
      <w:r w:rsidR="00C0461B" w:rsidRPr="00754AAD">
        <w:rPr>
          <w:rFonts w:ascii="Aptos" w:hAnsi="Aptos" w:cs="Open Sans"/>
          <w:szCs w:val="16"/>
          <w:lang w:val="en-US"/>
        </w:rPr>
        <w:t xml:space="preserve">determine which </w:t>
      </w:r>
      <w:r w:rsidRPr="00754AAD">
        <w:rPr>
          <w:rStyle w:val="FootnoteReference"/>
          <w:rFonts w:ascii="Aptos" w:hAnsi="Aptos" w:cs="Open Sans"/>
          <w:szCs w:val="16"/>
          <w:vertAlign w:val="baseline"/>
        </w:rPr>
        <w:t xml:space="preserve">Topics and Subtopics </w:t>
      </w:r>
      <w:r w:rsidR="00C0461B" w:rsidRPr="00754AAD">
        <w:rPr>
          <w:rFonts w:ascii="Aptos" w:hAnsi="Aptos" w:cs="Open Sans"/>
          <w:szCs w:val="16"/>
        </w:rPr>
        <w:t xml:space="preserve">are included in </w:t>
      </w:r>
      <w:r w:rsidRPr="00754AAD">
        <w:rPr>
          <w:rStyle w:val="FootnoteReference"/>
          <w:rFonts w:ascii="Aptos" w:hAnsi="Aptos" w:cs="Open Sans"/>
          <w:szCs w:val="16"/>
          <w:vertAlign w:val="baseline"/>
        </w:rPr>
        <w:t>the checklist based on what is applicable for the entity.</w:t>
      </w:r>
    </w:p>
    <w:p w14:paraId="786BC547" w14:textId="63B8E054" w:rsidR="004A7988" w:rsidRPr="00E90D62" w:rsidRDefault="004A7988" w:rsidP="00302B42">
      <w:pPr>
        <w:pStyle w:val="FootnoteText"/>
        <w:rPr>
          <w:szCs w:val="16"/>
          <w:lang w:val="en-US"/>
        </w:rPr>
      </w:pPr>
    </w:p>
  </w:footnote>
  <w:footnote w:id="3">
    <w:p w14:paraId="1867D782" w14:textId="03E5F582" w:rsidR="00BE4072" w:rsidRPr="00754AAD" w:rsidRDefault="00BE4072">
      <w:pPr>
        <w:pStyle w:val="FootnoteText"/>
        <w:rPr>
          <w:rFonts w:ascii="Aptos" w:hAnsi="Aptos" w:cs="Open Sans"/>
          <w:lang w:val="en-US"/>
        </w:rPr>
      </w:pPr>
      <w:r w:rsidRPr="00754AAD">
        <w:rPr>
          <w:rStyle w:val="FootnoteReference"/>
          <w:rFonts w:ascii="Aptos" w:hAnsi="Aptos" w:cs="Open Sans"/>
        </w:rPr>
        <w:footnoteRef/>
      </w:r>
      <w:r w:rsidRPr="00754AAD">
        <w:rPr>
          <w:rFonts w:ascii="Aptos" w:hAnsi="Aptos" w:cs="Open Sans"/>
        </w:rPr>
        <w:t xml:space="preserve"> FASB Accounting Standards Codification (ASC) Topic 805, </w:t>
      </w:r>
      <w:r w:rsidRPr="00754AAD">
        <w:rPr>
          <w:rFonts w:ascii="Aptos" w:hAnsi="Aptos" w:cs="Open Sans"/>
          <w:i/>
          <w:iCs/>
        </w:rPr>
        <w:t>Business Combinations</w:t>
      </w:r>
      <w:r w:rsidRPr="00754AAD">
        <w:rPr>
          <w:rFonts w:ascii="Aptos" w:hAnsi="Aptos" w:cs="Open Sans"/>
        </w:rPr>
        <w:t>.</w:t>
      </w:r>
    </w:p>
  </w:footnote>
  <w:footnote w:id="4">
    <w:p w14:paraId="6F94CB78" w14:textId="22F6CE3E" w:rsidR="00BE4072" w:rsidRPr="00754AAD" w:rsidRDefault="00BE4072">
      <w:pPr>
        <w:pStyle w:val="FootnoteText"/>
        <w:rPr>
          <w:rFonts w:ascii="Aptos" w:hAnsi="Aptos" w:cs="Open Sans"/>
          <w:lang w:val="en-US"/>
        </w:rPr>
      </w:pPr>
      <w:r w:rsidRPr="00754AAD">
        <w:rPr>
          <w:rStyle w:val="FootnoteReference"/>
          <w:rFonts w:ascii="Aptos" w:hAnsi="Aptos" w:cs="Open Sans"/>
        </w:rPr>
        <w:footnoteRef/>
      </w:r>
      <w:r w:rsidRPr="00754AAD">
        <w:rPr>
          <w:rFonts w:ascii="Aptos" w:hAnsi="Aptos" w:cs="Open Sans"/>
        </w:rPr>
        <w:t xml:space="preserve"> FASB Accounting Standards Codification Topic 606, </w:t>
      </w:r>
      <w:r w:rsidRPr="00754AAD">
        <w:rPr>
          <w:rFonts w:ascii="Aptos" w:hAnsi="Aptos" w:cs="Open Sans"/>
          <w:i/>
          <w:iCs/>
        </w:rPr>
        <w:t xml:space="preserve">Revenue </w:t>
      </w:r>
      <w:r w:rsidR="00AC5864" w:rsidRPr="00754AAD">
        <w:rPr>
          <w:rFonts w:ascii="Aptos" w:hAnsi="Aptos" w:cs="Open Sans"/>
          <w:i/>
          <w:iCs/>
        </w:rPr>
        <w:t>f</w:t>
      </w:r>
      <w:r w:rsidRPr="00754AAD">
        <w:rPr>
          <w:rFonts w:ascii="Aptos" w:hAnsi="Aptos" w:cs="Open Sans"/>
          <w:i/>
          <w:iCs/>
        </w:rPr>
        <w:t xml:space="preserve">rom Contracts </w:t>
      </w:r>
      <w:r w:rsidR="00AC5864" w:rsidRPr="00754AAD">
        <w:rPr>
          <w:rFonts w:ascii="Aptos" w:hAnsi="Aptos" w:cs="Open Sans"/>
          <w:i/>
          <w:iCs/>
        </w:rPr>
        <w:t>w</w:t>
      </w:r>
      <w:r w:rsidRPr="00754AAD">
        <w:rPr>
          <w:rFonts w:ascii="Aptos" w:hAnsi="Aptos" w:cs="Open Sans"/>
          <w:i/>
          <w:iCs/>
        </w:rPr>
        <w:t>ith Customers</w:t>
      </w:r>
      <w:r w:rsidRPr="00754AAD">
        <w:rPr>
          <w:rFonts w:ascii="Aptos" w:hAnsi="Aptos" w:cs="Open Sans"/>
        </w:rPr>
        <w:t>.</w:t>
      </w:r>
    </w:p>
  </w:footnote>
  <w:footnote w:id="5">
    <w:p w14:paraId="5F22BE2A" w14:textId="17AD4335" w:rsidR="00BE4072" w:rsidRPr="00B46CA7" w:rsidRDefault="00BE4072">
      <w:pPr>
        <w:pStyle w:val="FootnoteText"/>
        <w:rPr>
          <w:lang w:val="en-US"/>
        </w:rPr>
      </w:pPr>
      <w:r w:rsidRPr="00754AAD">
        <w:rPr>
          <w:rStyle w:val="FootnoteReference"/>
          <w:rFonts w:ascii="Aptos" w:hAnsi="Aptos" w:cs="Open Sans"/>
        </w:rPr>
        <w:footnoteRef/>
      </w:r>
      <w:r w:rsidRPr="00754AAD">
        <w:rPr>
          <w:rFonts w:ascii="Aptos" w:hAnsi="Aptos" w:cs="Open Sans"/>
        </w:rPr>
        <w:t xml:space="preserve"> FASB Accounting Standards Codification Topic 718, </w:t>
      </w:r>
      <w:r w:rsidRPr="00754AAD">
        <w:rPr>
          <w:rFonts w:ascii="Aptos" w:hAnsi="Aptos" w:cs="Open Sans"/>
          <w:i/>
          <w:iCs/>
        </w:rPr>
        <w:t>Compensation — Stock Compensation</w:t>
      </w:r>
      <w:r w:rsidRPr="00754AAD">
        <w:rPr>
          <w:rFonts w:ascii="Aptos" w:hAnsi="Aptos" w:cs="Open San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161FF" w14:textId="7F329055" w:rsidR="00BE3634" w:rsidRPr="00754AAD" w:rsidRDefault="001F7812" w:rsidP="001F7812">
    <w:pPr>
      <w:pStyle w:val="DeloitteHeaderFooter"/>
      <w:spacing w:after="0"/>
      <w:jc w:val="right"/>
      <w:rPr>
        <w:rFonts w:ascii="Aptos" w:hAnsi="Aptos" w:cs="Calibri Light"/>
      </w:rPr>
    </w:pPr>
    <w:r w:rsidRPr="00754AAD">
      <w:rPr>
        <w:rFonts w:ascii="Aptos" w:hAnsi="Aptos" w:cs="Calibri Light"/>
      </w:rPr>
      <w:t xml:space="preserve">U.S. GAAP Checklist </w:t>
    </w:r>
    <w:r w:rsidR="009B4BAE" w:rsidRPr="00754AAD">
      <w:rPr>
        <w:rFonts w:ascii="Aptos" w:hAnsi="Aptos" w:cs="Calibri Light"/>
      </w:rPr>
      <w:t xml:space="preserve">Q2 July </w:t>
    </w:r>
    <w:r w:rsidR="00EC0441" w:rsidRPr="00754AAD">
      <w:rPr>
        <w:rFonts w:ascii="Aptos" w:hAnsi="Aptos" w:cs="Calibri Light"/>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9630C"/>
    <w:multiLevelType w:val="hybridMultilevel"/>
    <w:tmpl w:val="CFAC8764"/>
    <w:lvl w:ilvl="0" w:tplc="7BDE5342">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88B7C35"/>
    <w:multiLevelType w:val="hybridMultilevel"/>
    <w:tmpl w:val="E9EA51DE"/>
    <w:lvl w:ilvl="0" w:tplc="0FC441C8">
      <w:start w:val="1"/>
      <w:numFmt w:val="lowerLetter"/>
      <w:pStyle w:val="PAAlphaList"/>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A61603A"/>
    <w:multiLevelType w:val="hybridMultilevel"/>
    <w:tmpl w:val="CB6C872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04554"/>
    <w:multiLevelType w:val="hybridMultilevel"/>
    <w:tmpl w:val="BB66B4DC"/>
    <w:lvl w:ilvl="0" w:tplc="77022CE2">
      <w:numFmt w:val="bullet"/>
      <w:lvlText w:val=""/>
      <w:lvlJc w:val="left"/>
      <w:pPr>
        <w:ind w:left="480" w:hanging="360"/>
      </w:pPr>
      <w:rPr>
        <w:rFonts w:ascii="Symbol" w:eastAsia="Symbol" w:hAnsi="Symbol" w:cs="Symbol" w:hint="default"/>
        <w:w w:val="100"/>
        <w:sz w:val="18"/>
        <w:szCs w:val="18"/>
      </w:rPr>
    </w:lvl>
    <w:lvl w:ilvl="1" w:tplc="4F7A5AEC">
      <w:numFmt w:val="bullet"/>
      <w:lvlText w:val=""/>
      <w:lvlJc w:val="left"/>
      <w:pPr>
        <w:ind w:left="820" w:hanging="360"/>
      </w:pPr>
      <w:rPr>
        <w:rFonts w:ascii="Symbol" w:eastAsia="Symbol" w:hAnsi="Symbol" w:cs="Symbol" w:hint="default"/>
        <w:w w:val="100"/>
        <w:sz w:val="18"/>
        <w:szCs w:val="18"/>
      </w:rPr>
    </w:lvl>
    <w:lvl w:ilvl="2" w:tplc="EE9EA7EC">
      <w:numFmt w:val="bullet"/>
      <w:pStyle w:val="PAForExampleBullets"/>
      <w:lvlText w:val=""/>
      <w:lvlJc w:val="left"/>
      <w:pPr>
        <w:ind w:left="1200" w:hanging="360"/>
      </w:pPr>
      <w:rPr>
        <w:rFonts w:ascii="Symbol" w:eastAsia="Symbol" w:hAnsi="Symbol" w:cs="Symbol" w:hint="default"/>
        <w:w w:val="100"/>
        <w:sz w:val="18"/>
        <w:szCs w:val="18"/>
      </w:rPr>
    </w:lvl>
    <w:lvl w:ilvl="3" w:tplc="3C760CCA">
      <w:numFmt w:val="bullet"/>
      <w:lvlText w:val="•"/>
      <w:lvlJc w:val="left"/>
      <w:pPr>
        <w:ind w:left="2425" w:hanging="360"/>
      </w:pPr>
      <w:rPr>
        <w:rFonts w:hint="default"/>
      </w:rPr>
    </w:lvl>
    <w:lvl w:ilvl="4" w:tplc="00C03086">
      <w:numFmt w:val="bullet"/>
      <w:lvlText w:val="•"/>
      <w:lvlJc w:val="left"/>
      <w:pPr>
        <w:ind w:left="3650" w:hanging="360"/>
      </w:pPr>
      <w:rPr>
        <w:rFonts w:hint="default"/>
      </w:rPr>
    </w:lvl>
    <w:lvl w:ilvl="5" w:tplc="DEE22E72">
      <w:numFmt w:val="bullet"/>
      <w:lvlText w:val="•"/>
      <w:lvlJc w:val="left"/>
      <w:pPr>
        <w:ind w:left="4875" w:hanging="360"/>
      </w:pPr>
      <w:rPr>
        <w:rFonts w:hint="default"/>
      </w:rPr>
    </w:lvl>
    <w:lvl w:ilvl="6" w:tplc="397E00BA">
      <w:numFmt w:val="bullet"/>
      <w:lvlText w:val="•"/>
      <w:lvlJc w:val="left"/>
      <w:pPr>
        <w:ind w:left="6100" w:hanging="360"/>
      </w:pPr>
      <w:rPr>
        <w:rFonts w:hint="default"/>
      </w:rPr>
    </w:lvl>
    <w:lvl w:ilvl="7" w:tplc="4A9A5B52">
      <w:numFmt w:val="bullet"/>
      <w:lvlText w:val="•"/>
      <w:lvlJc w:val="left"/>
      <w:pPr>
        <w:ind w:left="7325" w:hanging="360"/>
      </w:pPr>
      <w:rPr>
        <w:rFonts w:hint="default"/>
      </w:rPr>
    </w:lvl>
    <w:lvl w:ilvl="8" w:tplc="C324B4FE">
      <w:numFmt w:val="bullet"/>
      <w:lvlText w:val="•"/>
      <w:lvlJc w:val="left"/>
      <w:pPr>
        <w:ind w:left="8550" w:hanging="360"/>
      </w:pPr>
      <w:rPr>
        <w:rFonts w:hint="default"/>
      </w:rPr>
    </w:lvl>
  </w:abstractNum>
  <w:abstractNum w:abstractNumId="4" w15:restartNumberingAfterBreak="0">
    <w:nsid w:val="24852876"/>
    <w:multiLevelType w:val="hybridMultilevel"/>
    <w:tmpl w:val="6776A158"/>
    <w:lvl w:ilvl="0" w:tplc="297AA1B2">
      <w:start w:val="1"/>
      <w:numFmt w:val="decimal"/>
      <w:pStyle w:val="PATableNumb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F946DA"/>
    <w:multiLevelType w:val="hybridMultilevel"/>
    <w:tmpl w:val="C4FEC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3E08B0"/>
    <w:multiLevelType w:val="hybridMultilevel"/>
    <w:tmpl w:val="C6705D8C"/>
    <w:lvl w:ilvl="0" w:tplc="28268F3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B41A85"/>
    <w:multiLevelType w:val="hybridMultilevel"/>
    <w:tmpl w:val="D83278A0"/>
    <w:lvl w:ilvl="0" w:tplc="352E8E56">
      <w:start w:val="1"/>
      <w:numFmt w:val="decimal"/>
      <w:pStyle w:val="PANumberedList"/>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311954DB"/>
    <w:multiLevelType w:val="hybridMultilevel"/>
    <w:tmpl w:val="43C07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FC300A"/>
    <w:multiLevelType w:val="hybridMultilevel"/>
    <w:tmpl w:val="AA72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8B0C86"/>
    <w:multiLevelType w:val="hybridMultilevel"/>
    <w:tmpl w:val="252EC4B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24CFA"/>
    <w:multiLevelType w:val="multilevel"/>
    <w:tmpl w:val="AD9C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1C3DD2"/>
    <w:multiLevelType w:val="hybridMultilevel"/>
    <w:tmpl w:val="FBA82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7F1BB7"/>
    <w:multiLevelType w:val="hybridMultilevel"/>
    <w:tmpl w:val="9AEA7E46"/>
    <w:lvl w:ilvl="0" w:tplc="B928EB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CE7B02"/>
    <w:multiLevelType w:val="hybridMultilevel"/>
    <w:tmpl w:val="D964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E0A65C8"/>
    <w:multiLevelType w:val="hybridMultilevel"/>
    <w:tmpl w:val="210420A2"/>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E53363"/>
    <w:multiLevelType w:val="multilevel"/>
    <w:tmpl w:val="4C00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E54AE7"/>
    <w:multiLevelType w:val="multilevel"/>
    <w:tmpl w:val="8F24FC0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0"/>
        </w:tabs>
        <w:ind w:left="0" w:hanging="360"/>
      </w:pPr>
      <w:rPr>
        <w:rFonts w:ascii="Wingdings" w:hAnsi="Wingdings" w:hint="default"/>
        <w:sz w:val="20"/>
      </w:rPr>
    </w:lvl>
    <w:lvl w:ilvl="3" w:tentative="1">
      <w:start w:val="1"/>
      <w:numFmt w:val="bullet"/>
      <w:lvlText w:val=""/>
      <w:lvlJc w:val="left"/>
      <w:pPr>
        <w:tabs>
          <w:tab w:val="num" w:pos="720"/>
        </w:tabs>
        <w:ind w:left="720" w:hanging="360"/>
      </w:pPr>
      <w:rPr>
        <w:rFonts w:ascii="Wingdings" w:hAnsi="Wingdings" w:hint="default"/>
        <w:sz w:val="20"/>
      </w:rPr>
    </w:lvl>
    <w:lvl w:ilvl="4" w:tentative="1">
      <w:start w:val="1"/>
      <w:numFmt w:val="bullet"/>
      <w:lvlText w:val=""/>
      <w:lvlJc w:val="left"/>
      <w:pPr>
        <w:tabs>
          <w:tab w:val="num" w:pos="1440"/>
        </w:tabs>
        <w:ind w:left="1440" w:hanging="360"/>
      </w:pPr>
      <w:rPr>
        <w:rFonts w:ascii="Wingdings" w:hAnsi="Wingdings" w:hint="default"/>
        <w:sz w:val="20"/>
      </w:rPr>
    </w:lvl>
    <w:lvl w:ilvl="5" w:tentative="1">
      <w:start w:val="1"/>
      <w:numFmt w:val="bullet"/>
      <w:lvlText w:val=""/>
      <w:lvlJc w:val="left"/>
      <w:pPr>
        <w:tabs>
          <w:tab w:val="num" w:pos="2160"/>
        </w:tabs>
        <w:ind w:left="2160" w:hanging="360"/>
      </w:pPr>
      <w:rPr>
        <w:rFonts w:ascii="Wingdings" w:hAnsi="Wingdings" w:hint="default"/>
        <w:sz w:val="20"/>
      </w:rPr>
    </w:lvl>
    <w:lvl w:ilvl="6" w:tentative="1">
      <w:start w:val="1"/>
      <w:numFmt w:val="bullet"/>
      <w:lvlText w:val=""/>
      <w:lvlJc w:val="left"/>
      <w:pPr>
        <w:tabs>
          <w:tab w:val="num" w:pos="2880"/>
        </w:tabs>
        <w:ind w:left="2880" w:hanging="360"/>
      </w:pPr>
      <w:rPr>
        <w:rFonts w:ascii="Wingdings" w:hAnsi="Wingdings" w:hint="default"/>
        <w:sz w:val="20"/>
      </w:rPr>
    </w:lvl>
    <w:lvl w:ilvl="7" w:tentative="1">
      <w:start w:val="1"/>
      <w:numFmt w:val="bullet"/>
      <w:lvlText w:val=""/>
      <w:lvlJc w:val="left"/>
      <w:pPr>
        <w:tabs>
          <w:tab w:val="num" w:pos="3600"/>
        </w:tabs>
        <w:ind w:left="3600" w:hanging="360"/>
      </w:pPr>
      <w:rPr>
        <w:rFonts w:ascii="Wingdings" w:hAnsi="Wingdings" w:hint="default"/>
        <w:sz w:val="20"/>
      </w:rPr>
    </w:lvl>
    <w:lvl w:ilvl="8" w:tentative="1">
      <w:start w:val="1"/>
      <w:numFmt w:val="bullet"/>
      <w:lvlText w:val=""/>
      <w:lvlJc w:val="left"/>
      <w:pPr>
        <w:tabs>
          <w:tab w:val="num" w:pos="4320"/>
        </w:tabs>
        <w:ind w:left="4320" w:hanging="360"/>
      </w:pPr>
      <w:rPr>
        <w:rFonts w:ascii="Wingdings" w:hAnsi="Wingdings" w:hint="default"/>
        <w:sz w:val="20"/>
      </w:rPr>
    </w:lvl>
  </w:abstractNum>
  <w:abstractNum w:abstractNumId="18" w15:restartNumberingAfterBreak="0">
    <w:nsid w:val="755D2F0E"/>
    <w:multiLevelType w:val="hybridMultilevel"/>
    <w:tmpl w:val="E3BA1A54"/>
    <w:lvl w:ilvl="0" w:tplc="4822D86E">
      <w:start w:val="1"/>
      <w:numFmt w:val="lowerLetter"/>
      <w:pStyle w:val="PATableAlpha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F4533C"/>
    <w:multiLevelType w:val="hybridMultilevel"/>
    <w:tmpl w:val="59243AF2"/>
    <w:lvl w:ilvl="0" w:tplc="C718A0BA">
      <w:start w:val="1"/>
      <w:numFmt w:val="bullet"/>
      <w:pStyle w:val="PABulletLink75IND"/>
      <w:lvlText w:val=""/>
      <w:lvlJc w:val="left"/>
      <w:pPr>
        <w:ind w:left="720" w:hanging="360"/>
      </w:pPr>
      <w:rPr>
        <w:rFonts w:ascii="Symbol" w:hAnsi="Symbol" w:hint="default"/>
        <w:color w:val="62B5E5" w:themeColor="accent3"/>
      </w:rPr>
    </w:lvl>
    <w:lvl w:ilvl="1" w:tplc="3842A622">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034D17"/>
    <w:multiLevelType w:val="hybridMultilevel"/>
    <w:tmpl w:val="F3B4D06E"/>
    <w:lvl w:ilvl="0" w:tplc="A6F6CF9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E13368"/>
    <w:multiLevelType w:val="hybridMultilevel"/>
    <w:tmpl w:val="237E07AC"/>
    <w:lvl w:ilvl="0" w:tplc="B354181E">
      <w:start w:val="1"/>
      <w:numFmt w:val="bullet"/>
      <w:pStyle w:val="PABullet2"/>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8255137">
    <w:abstractNumId w:val="17"/>
  </w:num>
  <w:num w:numId="2" w16cid:durableId="171577336">
    <w:abstractNumId w:val="19"/>
  </w:num>
  <w:num w:numId="3" w16cid:durableId="347876909">
    <w:abstractNumId w:val="1"/>
  </w:num>
  <w:num w:numId="4" w16cid:durableId="815535966">
    <w:abstractNumId w:val="21"/>
  </w:num>
  <w:num w:numId="5" w16cid:durableId="794913274">
    <w:abstractNumId w:val="3"/>
  </w:num>
  <w:num w:numId="6" w16cid:durableId="691496523">
    <w:abstractNumId w:val="7"/>
  </w:num>
  <w:num w:numId="7" w16cid:durableId="258216739">
    <w:abstractNumId w:val="18"/>
  </w:num>
  <w:num w:numId="8" w16cid:durableId="169956396">
    <w:abstractNumId w:val="4"/>
  </w:num>
  <w:num w:numId="9" w16cid:durableId="766584667">
    <w:abstractNumId w:val="0"/>
  </w:num>
  <w:num w:numId="10" w16cid:durableId="1182359706">
    <w:abstractNumId w:val="20"/>
  </w:num>
  <w:num w:numId="11" w16cid:durableId="161628548">
    <w:abstractNumId w:val="6"/>
  </w:num>
  <w:num w:numId="12" w16cid:durableId="145363864">
    <w:abstractNumId w:val="10"/>
  </w:num>
  <w:num w:numId="13" w16cid:durableId="1050574019">
    <w:abstractNumId w:val="2"/>
  </w:num>
  <w:num w:numId="14" w16cid:durableId="1572736980">
    <w:abstractNumId w:val="11"/>
  </w:num>
  <w:num w:numId="15" w16cid:durableId="382292228">
    <w:abstractNumId w:val="12"/>
  </w:num>
  <w:num w:numId="16" w16cid:durableId="1481270453">
    <w:abstractNumId w:val="5"/>
  </w:num>
  <w:num w:numId="17" w16cid:durableId="1846089193">
    <w:abstractNumId w:val="8"/>
  </w:num>
  <w:num w:numId="18" w16cid:durableId="2110421879">
    <w:abstractNumId w:val="13"/>
  </w:num>
  <w:num w:numId="19" w16cid:durableId="1999652224">
    <w:abstractNumId w:val="9"/>
  </w:num>
  <w:num w:numId="20" w16cid:durableId="2010205548">
    <w:abstractNumId w:val="16"/>
  </w:num>
  <w:num w:numId="21" w16cid:durableId="341321538">
    <w:abstractNumId w:val="15"/>
  </w:num>
  <w:num w:numId="22" w16cid:durableId="2072338761">
    <w:abstractNumId w:val="14"/>
  </w:num>
  <w:num w:numId="23" w16cid:durableId="1546258907">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2CD"/>
    <w:rsid w:val="000005C4"/>
    <w:rsid w:val="000007FB"/>
    <w:rsid w:val="000008F6"/>
    <w:rsid w:val="00001454"/>
    <w:rsid w:val="0000205D"/>
    <w:rsid w:val="0000219F"/>
    <w:rsid w:val="00003546"/>
    <w:rsid w:val="00003954"/>
    <w:rsid w:val="00003C27"/>
    <w:rsid w:val="00004239"/>
    <w:rsid w:val="0000449A"/>
    <w:rsid w:val="0000482D"/>
    <w:rsid w:val="00004C40"/>
    <w:rsid w:val="00004E6B"/>
    <w:rsid w:val="00005603"/>
    <w:rsid w:val="000059C1"/>
    <w:rsid w:val="000061C3"/>
    <w:rsid w:val="00006293"/>
    <w:rsid w:val="0000635F"/>
    <w:rsid w:val="00006D68"/>
    <w:rsid w:val="00007393"/>
    <w:rsid w:val="000074DB"/>
    <w:rsid w:val="000077B4"/>
    <w:rsid w:val="00007C21"/>
    <w:rsid w:val="00010799"/>
    <w:rsid w:val="000109FD"/>
    <w:rsid w:val="00010C19"/>
    <w:rsid w:val="00010C47"/>
    <w:rsid w:val="0001126A"/>
    <w:rsid w:val="00012A5D"/>
    <w:rsid w:val="000135A1"/>
    <w:rsid w:val="000135AA"/>
    <w:rsid w:val="0001378C"/>
    <w:rsid w:val="00013C4B"/>
    <w:rsid w:val="00014E25"/>
    <w:rsid w:val="000151BC"/>
    <w:rsid w:val="00015790"/>
    <w:rsid w:val="00015D6A"/>
    <w:rsid w:val="000160D7"/>
    <w:rsid w:val="000164B5"/>
    <w:rsid w:val="00016912"/>
    <w:rsid w:val="00016BE4"/>
    <w:rsid w:val="000177E8"/>
    <w:rsid w:val="00017AA2"/>
    <w:rsid w:val="00017E2C"/>
    <w:rsid w:val="000207E8"/>
    <w:rsid w:val="00020879"/>
    <w:rsid w:val="000209F4"/>
    <w:rsid w:val="00021275"/>
    <w:rsid w:val="0002127D"/>
    <w:rsid w:val="00021618"/>
    <w:rsid w:val="000219C6"/>
    <w:rsid w:val="0002329F"/>
    <w:rsid w:val="000247CD"/>
    <w:rsid w:val="00024A1E"/>
    <w:rsid w:val="0002568F"/>
    <w:rsid w:val="00025D7C"/>
    <w:rsid w:val="00026307"/>
    <w:rsid w:val="000271F4"/>
    <w:rsid w:val="000272D6"/>
    <w:rsid w:val="00027786"/>
    <w:rsid w:val="00027B67"/>
    <w:rsid w:val="00027C5A"/>
    <w:rsid w:val="00030185"/>
    <w:rsid w:val="00030805"/>
    <w:rsid w:val="00030A4D"/>
    <w:rsid w:val="00030DE7"/>
    <w:rsid w:val="00030E74"/>
    <w:rsid w:val="00031512"/>
    <w:rsid w:val="00031904"/>
    <w:rsid w:val="00031ADF"/>
    <w:rsid w:val="00031DF4"/>
    <w:rsid w:val="00032814"/>
    <w:rsid w:val="00032897"/>
    <w:rsid w:val="000329B6"/>
    <w:rsid w:val="000334B2"/>
    <w:rsid w:val="000336D0"/>
    <w:rsid w:val="00034735"/>
    <w:rsid w:val="0003504C"/>
    <w:rsid w:val="000357A1"/>
    <w:rsid w:val="00036FD5"/>
    <w:rsid w:val="0004076D"/>
    <w:rsid w:val="000408E6"/>
    <w:rsid w:val="00040B25"/>
    <w:rsid w:val="00041761"/>
    <w:rsid w:val="00041BA1"/>
    <w:rsid w:val="00041BAB"/>
    <w:rsid w:val="00042E65"/>
    <w:rsid w:val="0004337F"/>
    <w:rsid w:val="000435EA"/>
    <w:rsid w:val="00045186"/>
    <w:rsid w:val="00045BD9"/>
    <w:rsid w:val="00045C76"/>
    <w:rsid w:val="00046F65"/>
    <w:rsid w:val="00047C92"/>
    <w:rsid w:val="00050281"/>
    <w:rsid w:val="000504BA"/>
    <w:rsid w:val="0005105C"/>
    <w:rsid w:val="00052069"/>
    <w:rsid w:val="0005312D"/>
    <w:rsid w:val="00053650"/>
    <w:rsid w:val="00053974"/>
    <w:rsid w:val="00053E39"/>
    <w:rsid w:val="00054916"/>
    <w:rsid w:val="00055344"/>
    <w:rsid w:val="00055478"/>
    <w:rsid w:val="00055BF5"/>
    <w:rsid w:val="00055D52"/>
    <w:rsid w:val="00055EEE"/>
    <w:rsid w:val="00055FBC"/>
    <w:rsid w:val="000564F1"/>
    <w:rsid w:val="00056AA1"/>
    <w:rsid w:val="00056D90"/>
    <w:rsid w:val="00056E3D"/>
    <w:rsid w:val="00057ADC"/>
    <w:rsid w:val="00060831"/>
    <w:rsid w:val="0006097F"/>
    <w:rsid w:val="00060AEC"/>
    <w:rsid w:val="00061E9B"/>
    <w:rsid w:val="000620DC"/>
    <w:rsid w:val="00062200"/>
    <w:rsid w:val="00062480"/>
    <w:rsid w:val="0006300A"/>
    <w:rsid w:val="00063DBC"/>
    <w:rsid w:val="00063F0E"/>
    <w:rsid w:val="0006522D"/>
    <w:rsid w:val="0006552B"/>
    <w:rsid w:val="0006575C"/>
    <w:rsid w:val="00065A50"/>
    <w:rsid w:val="00065AA1"/>
    <w:rsid w:val="00067319"/>
    <w:rsid w:val="00067591"/>
    <w:rsid w:val="00067AAF"/>
    <w:rsid w:val="00067D93"/>
    <w:rsid w:val="000710E6"/>
    <w:rsid w:val="00072041"/>
    <w:rsid w:val="00072ABB"/>
    <w:rsid w:val="00072AC8"/>
    <w:rsid w:val="000730ED"/>
    <w:rsid w:val="00074292"/>
    <w:rsid w:val="00074B5C"/>
    <w:rsid w:val="000757B2"/>
    <w:rsid w:val="000764E4"/>
    <w:rsid w:val="000767CF"/>
    <w:rsid w:val="00076FBD"/>
    <w:rsid w:val="00077387"/>
    <w:rsid w:val="00077970"/>
    <w:rsid w:val="00080734"/>
    <w:rsid w:val="000811B9"/>
    <w:rsid w:val="0008216A"/>
    <w:rsid w:val="00083B0E"/>
    <w:rsid w:val="00084ACD"/>
    <w:rsid w:val="0008533E"/>
    <w:rsid w:val="00086400"/>
    <w:rsid w:val="00086A37"/>
    <w:rsid w:val="000871D6"/>
    <w:rsid w:val="0008762C"/>
    <w:rsid w:val="00087BD1"/>
    <w:rsid w:val="00087DD1"/>
    <w:rsid w:val="000909DF"/>
    <w:rsid w:val="00090E9A"/>
    <w:rsid w:val="00090EB4"/>
    <w:rsid w:val="00091FA6"/>
    <w:rsid w:val="0009288C"/>
    <w:rsid w:val="000929DE"/>
    <w:rsid w:val="00092D3B"/>
    <w:rsid w:val="00093057"/>
    <w:rsid w:val="00093307"/>
    <w:rsid w:val="00093749"/>
    <w:rsid w:val="00094789"/>
    <w:rsid w:val="00094D7C"/>
    <w:rsid w:val="00095CB2"/>
    <w:rsid w:val="0009617C"/>
    <w:rsid w:val="000970EA"/>
    <w:rsid w:val="0009723A"/>
    <w:rsid w:val="00097BAF"/>
    <w:rsid w:val="00097E31"/>
    <w:rsid w:val="000A1000"/>
    <w:rsid w:val="000A2A6F"/>
    <w:rsid w:val="000A2ABD"/>
    <w:rsid w:val="000A4314"/>
    <w:rsid w:val="000A46FA"/>
    <w:rsid w:val="000A47D9"/>
    <w:rsid w:val="000A4903"/>
    <w:rsid w:val="000A5309"/>
    <w:rsid w:val="000A5406"/>
    <w:rsid w:val="000A5EA7"/>
    <w:rsid w:val="000A6173"/>
    <w:rsid w:val="000A6748"/>
    <w:rsid w:val="000A731A"/>
    <w:rsid w:val="000A733C"/>
    <w:rsid w:val="000A75A3"/>
    <w:rsid w:val="000A7AD1"/>
    <w:rsid w:val="000A7BBA"/>
    <w:rsid w:val="000A7C8C"/>
    <w:rsid w:val="000A7F3E"/>
    <w:rsid w:val="000B02BD"/>
    <w:rsid w:val="000B0523"/>
    <w:rsid w:val="000B0622"/>
    <w:rsid w:val="000B076B"/>
    <w:rsid w:val="000B1C92"/>
    <w:rsid w:val="000B2A02"/>
    <w:rsid w:val="000B2F5E"/>
    <w:rsid w:val="000B3234"/>
    <w:rsid w:val="000B3B4D"/>
    <w:rsid w:val="000B3E8A"/>
    <w:rsid w:val="000B415C"/>
    <w:rsid w:val="000B4778"/>
    <w:rsid w:val="000B5105"/>
    <w:rsid w:val="000B60D1"/>
    <w:rsid w:val="000B60FF"/>
    <w:rsid w:val="000B78B5"/>
    <w:rsid w:val="000C11E4"/>
    <w:rsid w:val="000C1635"/>
    <w:rsid w:val="000C17BF"/>
    <w:rsid w:val="000C239E"/>
    <w:rsid w:val="000C23A0"/>
    <w:rsid w:val="000C3283"/>
    <w:rsid w:val="000C376A"/>
    <w:rsid w:val="000C40FA"/>
    <w:rsid w:val="000C4443"/>
    <w:rsid w:val="000C4ABF"/>
    <w:rsid w:val="000C4AF7"/>
    <w:rsid w:val="000C4D11"/>
    <w:rsid w:val="000C552A"/>
    <w:rsid w:val="000C56B8"/>
    <w:rsid w:val="000C695E"/>
    <w:rsid w:val="000C6D02"/>
    <w:rsid w:val="000C784B"/>
    <w:rsid w:val="000C7EC5"/>
    <w:rsid w:val="000D063B"/>
    <w:rsid w:val="000D15A2"/>
    <w:rsid w:val="000D20B1"/>
    <w:rsid w:val="000D264C"/>
    <w:rsid w:val="000D2959"/>
    <w:rsid w:val="000D3BD1"/>
    <w:rsid w:val="000D40A6"/>
    <w:rsid w:val="000D4FD6"/>
    <w:rsid w:val="000D5246"/>
    <w:rsid w:val="000D582C"/>
    <w:rsid w:val="000D5B1C"/>
    <w:rsid w:val="000D65AA"/>
    <w:rsid w:val="000D737B"/>
    <w:rsid w:val="000D7FD3"/>
    <w:rsid w:val="000E00EE"/>
    <w:rsid w:val="000E0341"/>
    <w:rsid w:val="000E07D3"/>
    <w:rsid w:val="000E0BB8"/>
    <w:rsid w:val="000E1A8A"/>
    <w:rsid w:val="000E1E09"/>
    <w:rsid w:val="000E24B7"/>
    <w:rsid w:val="000E2865"/>
    <w:rsid w:val="000E2B32"/>
    <w:rsid w:val="000E2FCB"/>
    <w:rsid w:val="000E3701"/>
    <w:rsid w:val="000E43D2"/>
    <w:rsid w:val="000E44E7"/>
    <w:rsid w:val="000E46FB"/>
    <w:rsid w:val="000E481F"/>
    <w:rsid w:val="000E4B27"/>
    <w:rsid w:val="000E528E"/>
    <w:rsid w:val="000E6063"/>
    <w:rsid w:val="000E663A"/>
    <w:rsid w:val="000E6D1F"/>
    <w:rsid w:val="000E7C6E"/>
    <w:rsid w:val="000F0343"/>
    <w:rsid w:val="000F0A6C"/>
    <w:rsid w:val="000F1C15"/>
    <w:rsid w:val="000F1CB6"/>
    <w:rsid w:val="000F1DB5"/>
    <w:rsid w:val="000F1DC5"/>
    <w:rsid w:val="000F2562"/>
    <w:rsid w:val="000F26BD"/>
    <w:rsid w:val="000F3095"/>
    <w:rsid w:val="000F30B3"/>
    <w:rsid w:val="000F5112"/>
    <w:rsid w:val="000F53F6"/>
    <w:rsid w:val="000F55CA"/>
    <w:rsid w:val="000F5619"/>
    <w:rsid w:val="000F6063"/>
    <w:rsid w:val="000F785D"/>
    <w:rsid w:val="000F79EC"/>
    <w:rsid w:val="00100FCF"/>
    <w:rsid w:val="0010120C"/>
    <w:rsid w:val="0010167D"/>
    <w:rsid w:val="00101B3A"/>
    <w:rsid w:val="00101EE0"/>
    <w:rsid w:val="00102BC8"/>
    <w:rsid w:val="0010336F"/>
    <w:rsid w:val="00103C62"/>
    <w:rsid w:val="00103D3E"/>
    <w:rsid w:val="001041EA"/>
    <w:rsid w:val="00105BA1"/>
    <w:rsid w:val="00105FD6"/>
    <w:rsid w:val="0010641F"/>
    <w:rsid w:val="001074B7"/>
    <w:rsid w:val="001078FB"/>
    <w:rsid w:val="00107A74"/>
    <w:rsid w:val="00107F2A"/>
    <w:rsid w:val="00110526"/>
    <w:rsid w:val="00110F94"/>
    <w:rsid w:val="0011102D"/>
    <w:rsid w:val="00111320"/>
    <w:rsid w:val="00111E3F"/>
    <w:rsid w:val="00111E8A"/>
    <w:rsid w:val="00112401"/>
    <w:rsid w:val="001125BE"/>
    <w:rsid w:val="00112AA2"/>
    <w:rsid w:val="00112F4C"/>
    <w:rsid w:val="001131D7"/>
    <w:rsid w:val="00113B89"/>
    <w:rsid w:val="00114432"/>
    <w:rsid w:val="0011589F"/>
    <w:rsid w:val="0011685C"/>
    <w:rsid w:val="00116C1A"/>
    <w:rsid w:val="001176AD"/>
    <w:rsid w:val="00117E18"/>
    <w:rsid w:val="00120DCB"/>
    <w:rsid w:val="00120F38"/>
    <w:rsid w:val="00120F87"/>
    <w:rsid w:val="0012243B"/>
    <w:rsid w:val="001225B4"/>
    <w:rsid w:val="00123022"/>
    <w:rsid w:val="0012385C"/>
    <w:rsid w:val="00123873"/>
    <w:rsid w:val="00123D4D"/>
    <w:rsid w:val="00124E4A"/>
    <w:rsid w:val="00125FD4"/>
    <w:rsid w:val="0013019B"/>
    <w:rsid w:val="00130C91"/>
    <w:rsid w:val="00130C9D"/>
    <w:rsid w:val="00130F83"/>
    <w:rsid w:val="001310F9"/>
    <w:rsid w:val="001314CB"/>
    <w:rsid w:val="0013357D"/>
    <w:rsid w:val="00133914"/>
    <w:rsid w:val="00133B6E"/>
    <w:rsid w:val="00133CFF"/>
    <w:rsid w:val="00134605"/>
    <w:rsid w:val="0013504F"/>
    <w:rsid w:val="00135F40"/>
    <w:rsid w:val="0013618F"/>
    <w:rsid w:val="00136520"/>
    <w:rsid w:val="00137161"/>
    <w:rsid w:val="00137259"/>
    <w:rsid w:val="00137638"/>
    <w:rsid w:val="001404F7"/>
    <w:rsid w:val="00140B1B"/>
    <w:rsid w:val="00140C3B"/>
    <w:rsid w:val="00141683"/>
    <w:rsid w:val="0014223C"/>
    <w:rsid w:val="0014254C"/>
    <w:rsid w:val="00142EE6"/>
    <w:rsid w:val="00144592"/>
    <w:rsid w:val="0014471D"/>
    <w:rsid w:val="001477A3"/>
    <w:rsid w:val="00147A59"/>
    <w:rsid w:val="00150207"/>
    <w:rsid w:val="0015029C"/>
    <w:rsid w:val="00150956"/>
    <w:rsid w:val="0015107E"/>
    <w:rsid w:val="001510D4"/>
    <w:rsid w:val="0015121E"/>
    <w:rsid w:val="00154BAB"/>
    <w:rsid w:val="00154BF5"/>
    <w:rsid w:val="0015511E"/>
    <w:rsid w:val="00156218"/>
    <w:rsid w:val="001562DA"/>
    <w:rsid w:val="00156B0C"/>
    <w:rsid w:val="00156EF6"/>
    <w:rsid w:val="00156FC7"/>
    <w:rsid w:val="001570BF"/>
    <w:rsid w:val="001572E9"/>
    <w:rsid w:val="00157704"/>
    <w:rsid w:val="001577B7"/>
    <w:rsid w:val="00157B71"/>
    <w:rsid w:val="0016232C"/>
    <w:rsid w:val="0016328F"/>
    <w:rsid w:val="0016399C"/>
    <w:rsid w:val="00164487"/>
    <w:rsid w:val="00164A06"/>
    <w:rsid w:val="00165A42"/>
    <w:rsid w:val="00166412"/>
    <w:rsid w:val="00167383"/>
    <w:rsid w:val="001673BE"/>
    <w:rsid w:val="001704B7"/>
    <w:rsid w:val="00170738"/>
    <w:rsid w:val="00170942"/>
    <w:rsid w:val="00170B4C"/>
    <w:rsid w:val="00171AAF"/>
    <w:rsid w:val="00171B55"/>
    <w:rsid w:val="00172366"/>
    <w:rsid w:val="00172FCF"/>
    <w:rsid w:val="00173973"/>
    <w:rsid w:val="0017456F"/>
    <w:rsid w:val="001747DC"/>
    <w:rsid w:val="001749EC"/>
    <w:rsid w:val="00175C7D"/>
    <w:rsid w:val="001767C7"/>
    <w:rsid w:val="00176903"/>
    <w:rsid w:val="00176BCC"/>
    <w:rsid w:val="00177215"/>
    <w:rsid w:val="00177C60"/>
    <w:rsid w:val="00177DD8"/>
    <w:rsid w:val="00177E2D"/>
    <w:rsid w:val="00177F66"/>
    <w:rsid w:val="0018075E"/>
    <w:rsid w:val="00180794"/>
    <w:rsid w:val="00180EAF"/>
    <w:rsid w:val="0018120D"/>
    <w:rsid w:val="00181ECD"/>
    <w:rsid w:val="00181F44"/>
    <w:rsid w:val="001829CF"/>
    <w:rsid w:val="00182B95"/>
    <w:rsid w:val="00183585"/>
    <w:rsid w:val="0018366A"/>
    <w:rsid w:val="00183FCD"/>
    <w:rsid w:val="0018433B"/>
    <w:rsid w:val="0018475A"/>
    <w:rsid w:val="00184F65"/>
    <w:rsid w:val="001854EE"/>
    <w:rsid w:val="00185D18"/>
    <w:rsid w:val="00186D4D"/>
    <w:rsid w:val="00186EBE"/>
    <w:rsid w:val="00186EF1"/>
    <w:rsid w:val="00187B1D"/>
    <w:rsid w:val="001902CD"/>
    <w:rsid w:val="00190635"/>
    <w:rsid w:val="00190B83"/>
    <w:rsid w:val="00190C30"/>
    <w:rsid w:val="00191D9F"/>
    <w:rsid w:val="00192044"/>
    <w:rsid w:val="00192380"/>
    <w:rsid w:val="0019245A"/>
    <w:rsid w:val="00193904"/>
    <w:rsid w:val="001944ED"/>
    <w:rsid w:val="00194F3F"/>
    <w:rsid w:val="0019500E"/>
    <w:rsid w:val="001951CC"/>
    <w:rsid w:val="0019539E"/>
    <w:rsid w:val="00195762"/>
    <w:rsid w:val="00195C16"/>
    <w:rsid w:val="0019712B"/>
    <w:rsid w:val="0019754A"/>
    <w:rsid w:val="00197BBC"/>
    <w:rsid w:val="001A03C1"/>
    <w:rsid w:val="001A064A"/>
    <w:rsid w:val="001A0925"/>
    <w:rsid w:val="001A1182"/>
    <w:rsid w:val="001A19B5"/>
    <w:rsid w:val="001A19EF"/>
    <w:rsid w:val="001A20AD"/>
    <w:rsid w:val="001A20EA"/>
    <w:rsid w:val="001A3041"/>
    <w:rsid w:val="001A4402"/>
    <w:rsid w:val="001A49A0"/>
    <w:rsid w:val="001A5B7A"/>
    <w:rsid w:val="001A6059"/>
    <w:rsid w:val="001A6552"/>
    <w:rsid w:val="001A6811"/>
    <w:rsid w:val="001A6843"/>
    <w:rsid w:val="001A77C9"/>
    <w:rsid w:val="001A7AA5"/>
    <w:rsid w:val="001A7E02"/>
    <w:rsid w:val="001B073E"/>
    <w:rsid w:val="001B082B"/>
    <w:rsid w:val="001B1494"/>
    <w:rsid w:val="001B1AC3"/>
    <w:rsid w:val="001B2A68"/>
    <w:rsid w:val="001B2E80"/>
    <w:rsid w:val="001B3B94"/>
    <w:rsid w:val="001B4628"/>
    <w:rsid w:val="001B4E00"/>
    <w:rsid w:val="001B570D"/>
    <w:rsid w:val="001B5D57"/>
    <w:rsid w:val="001B64A3"/>
    <w:rsid w:val="001B6D39"/>
    <w:rsid w:val="001B72EA"/>
    <w:rsid w:val="001B74A5"/>
    <w:rsid w:val="001B7DFA"/>
    <w:rsid w:val="001B7E65"/>
    <w:rsid w:val="001B7ED5"/>
    <w:rsid w:val="001C0514"/>
    <w:rsid w:val="001C0B33"/>
    <w:rsid w:val="001C1813"/>
    <w:rsid w:val="001C1918"/>
    <w:rsid w:val="001C21FC"/>
    <w:rsid w:val="001C2A62"/>
    <w:rsid w:val="001C3768"/>
    <w:rsid w:val="001C389F"/>
    <w:rsid w:val="001C42F3"/>
    <w:rsid w:val="001C4319"/>
    <w:rsid w:val="001C4C7C"/>
    <w:rsid w:val="001C7375"/>
    <w:rsid w:val="001D02F2"/>
    <w:rsid w:val="001D0327"/>
    <w:rsid w:val="001D0B0C"/>
    <w:rsid w:val="001D0C3C"/>
    <w:rsid w:val="001D26A4"/>
    <w:rsid w:val="001D2DE5"/>
    <w:rsid w:val="001D3EAB"/>
    <w:rsid w:val="001D49A6"/>
    <w:rsid w:val="001D54F1"/>
    <w:rsid w:val="001D586A"/>
    <w:rsid w:val="001D5B12"/>
    <w:rsid w:val="001D62FD"/>
    <w:rsid w:val="001D65B8"/>
    <w:rsid w:val="001D6CB9"/>
    <w:rsid w:val="001D78DC"/>
    <w:rsid w:val="001E03AA"/>
    <w:rsid w:val="001E03F0"/>
    <w:rsid w:val="001E0980"/>
    <w:rsid w:val="001E0C66"/>
    <w:rsid w:val="001E0E2F"/>
    <w:rsid w:val="001E24F4"/>
    <w:rsid w:val="001E2B14"/>
    <w:rsid w:val="001E2FDE"/>
    <w:rsid w:val="001E3667"/>
    <w:rsid w:val="001E5920"/>
    <w:rsid w:val="001E5B1D"/>
    <w:rsid w:val="001E65C2"/>
    <w:rsid w:val="001E6917"/>
    <w:rsid w:val="001E6BDD"/>
    <w:rsid w:val="001E7CD7"/>
    <w:rsid w:val="001F090B"/>
    <w:rsid w:val="001F0B2E"/>
    <w:rsid w:val="001F0F22"/>
    <w:rsid w:val="001F233B"/>
    <w:rsid w:val="001F2624"/>
    <w:rsid w:val="001F2E16"/>
    <w:rsid w:val="001F318D"/>
    <w:rsid w:val="001F3318"/>
    <w:rsid w:val="001F3441"/>
    <w:rsid w:val="001F3CF0"/>
    <w:rsid w:val="001F40F8"/>
    <w:rsid w:val="001F4D64"/>
    <w:rsid w:val="001F4E45"/>
    <w:rsid w:val="001F5403"/>
    <w:rsid w:val="001F544B"/>
    <w:rsid w:val="001F56CC"/>
    <w:rsid w:val="001F587B"/>
    <w:rsid w:val="001F58F2"/>
    <w:rsid w:val="001F7021"/>
    <w:rsid w:val="001F7812"/>
    <w:rsid w:val="001F7E23"/>
    <w:rsid w:val="002000DA"/>
    <w:rsid w:val="0020033A"/>
    <w:rsid w:val="0020035F"/>
    <w:rsid w:val="00200C68"/>
    <w:rsid w:val="00200D31"/>
    <w:rsid w:val="0020422B"/>
    <w:rsid w:val="002043D8"/>
    <w:rsid w:val="00204497"/>
    <w:rsid w:val="0020466F"/>
    <w:rsid w:val="0020497C"/>
    <w:rsid w:val="002049BF"/>
    <w:rsid w:val="00204B3C"/>
    <w:rsid w:val="002052F0"/>
    <w:rsid w:val="00205649"/>
    <w:rsid w:val="00205B56"/>
    <w:rsid w:val="00206548"/>
    <w:rsid w:val="0020690A"/>
    <w:rsid w:val="00206DD6"/>
    <w:rsid w:val="0020776B"/>
    <w:rsid w:val="00210DFE"/>
    <w:rsid w:val="00211683"/>
    <w:rsid w:val="0021292A"/>
    <w:rsid w:val="002129C7"/>
    <w:rsid w:val="00212DCD"/>
    <w:rsid w:val="00213579"/>
    <w:rsid w:val="002139BE"/>
    <w:rsid w:val="00214705"/>
    <w:rsid w:val="002155D0"/>
    <w:rsid w:val="002176A0"/>
    <w:rsid w:val="00220E6B"/>
    <w:rsid w:val="00221B34"/>
    <w:rsid w:val="0022228C"/>
    <w:rsid w:val="00222501"/>
    <w:rsid w:val="00222CC0"/>
    <w:rsid w:val="00223860"/>
    <w:rsid w:val="002240CB"/>
    <w:rsid w:val="002247B3"/>
    <w:rsid w:val="00224BA7"/>
    <w:rsid w:val="00224F73"/>
    <w:rsid w:val="0022553C"/>
    <w:rsid w:val="002256CC"/>
    <w:rsid w:val="0022594C"/>
    <w:rsid w:val="002261E5"/>
    <w:rsid w:val="002264FB"/>
    <w:rsid w:val="002270A5"/>
    <w:rsid w:val="00227706"/>
    <w:rsid w:val="00227D41"/>
    <w:rsid w:val="00230200"/>
    <w:rsid w:val="00230388"/>
    <w:rsid w:val="002316CC"/>
    <w:rsid w:val="00231763"/>
    <w:rsid w:val="002322E3"/>
    <w:rsid w:val="002335FF"/>
    <w:rsid w:val="00233A37"/>
    <w:rsid w:val="00233F86"/>
    <w:rsid w:val="00234D77"/>
    <w:rsid w:val="002350AD"/>
    <w:rsid w:val="0023513F"/>
    <w:rsid w:val="00235325"/>
    <w:rsid w:val="0023583D"/>
    <w:rsid w:val="00235BF0"/>
    <w:rsid w:val="00236AF6"/>
    <w:rsid w:val="00237898"/>
    <w:rsid w:val="002379EF"/>
    <w:rsid w:val="002403B1"/>
    <w:rsid w:val="00241C9C"/>
    <w:rsid w:val="00242254"/>
    <w:rsid w:val="00242BE2"/>
    <w:rsid w:val="00242D0F"/>
    <w:rsid w:val="002433D5"/>
    <w:rsid w:val="00243646"/>
    <w:rsid w:val="00243A82"/>
    <w:rsid w:val="0024623F"/>
    <w:rsid w:val="002466F7"/>
    <w:rsid w:val="0024682E"/>
    <w:rsid w:val="002471E2"/>
    <w:rsid w:val="002502BB"/>
    <w:rsid w:val="00250917"/>
    <w:rsid w:val="00250C70"/>
    <w:rsid w:val="00252028"/>
    <w:rsid w:val="00252846"/>
    <w:rsid w:val="00252C14"/>
    <w:rsid w:val="00252D1E"/>
    <w:rsid w:val="00253D85"/>
    <w:rsid w:val="00253F26"/>
    <w:rsid w:val="00254471"/>
    <w:rsid w:val="002544F1"/>
    <w:rsid w:val="002548DC"/>
    <w:rsid w:val="00254BB7"/>
    <w:rsid w:val="00255579"/>
    <w:rsid w:val="0025696E"/>
    <w:rsid w:val="00256C3E"/>
    <w:rsid w:val="00256DD3"/>
    <w:rsid w:val="00257EC6"/>
    <w:rsid w:val="00260B62"/>
    <w:rsid w:val="00260F65"/>
    <w:rsid w:val="00261250"/>
    <w:rsid w:val="002615BB"/>
    <w:rsid w:val="00261971"/>
    <w:rsid w:val="00262692"/>
    <w:rsid w:val="002626E8"/>
    <w:rsid w:val="00264560"/>
    <w:rsid w:val="002645AC"/>
    <w:rsid w:val="00264CC4"/>
    <w:rsid w:val="00265153"/>
    <w:rsid w:val="002651F2"/>
    <w:rsid w:val="0026565A"/>
    <w:rsid w:val="00266971"/>
    <w:rsid w:val="00266F53"/>
    <w:rsid w:val="00267501"/>
    <w:rsid w:val="00267E58"/>
    <w:rsid w:val="00267F35"/>
    <w:rsid w:val="00270276"/>
    <w:rsid w:val="002706CA"/>
    <w:rsid w:val="00270918"/>
    <w:rsid w:val="002717BB"/>
    <w:rsid w:val="002718A3"/>
    <w:rsid w:val="00271A1E"/>
    <w:rsid w:val="00273351"/>
    <w:rsid w:val="00273503"/>
    <w:rsid w:val="0027364A"/>
    <w:rsid w:val="00273C21"/>
    <w:rsid w:val="00274A48"/>
    <w:rsid w:val="00274A84"/>
    <w:rsid w:val="0027595B"/>
    <w:rsid w:val="00275F6F"/>
    <w:rsid w:val="00276EB1"/>
    <w:rsid w:val="0027765D"/>
    <w:rsid w:val="002804A0"/>
    <w:rsid w:val="0028073D"/>
    <w:rsid w:val="0028116B"/>
    <w:rsid w:val="002818A5"/>
    <w:rsid w:val="002820E0"/>
    <w:rsid w:val="0028220B"/>
    <w:rsid w:val="0028234C"/>
    <w:rsid w:val="002828C1"/>
    <w:rsid w:val="00283C1B"/>
    <w:rsid w:val="0028529C"/>
    <w:rsid w:val="00285705"/>
    <w:rsid w:val="00285EF8"/>
    <w:rsid w:val="002861E1"/>
    <w:rsid w:val="002861F2"/>
    <w:rsid w:val="00286487"/>
    <w:rsid w:val="00286FCE"/>
    <w:rsid w:val="00290136"/>
    <w:rsid w:val="00290379"/>
    <w:rsid w:val="002903E4"/>
    <w:rsid w:val="00290BF2"/>
    <w:rsid w:val="00292837"/>
    <w:rsid w:val="00293EA9"/>
    <w:rsid w:val="0029493D"/>
    <w:rsid w:val="0029527C"/>
    <w:rsid w:val="0029581F"/>
    <w:rsid w:val="00295A87"/>
    <w:rsid w:val="00297FCB"/>
    <w:rsid w:val="002A0987"/>
    <w:rsid w:val="002A0D76"/>
    <w:rsid w:val="002A23CA"/>
    <w:rsid w:val="002A31D9"/>
    <w:rsid w:val="002A3D52"/>
    <w:rsid w:val="002A5673"/>
    <w:rsid w:val="002A591E"/>
    <w:rsid w:val="002A61B9"/>
    <w:rsid w:val="002A6D7B"/>
    <w:rsid w:val="002A6EF2"/>
    <w:rsid w:val="002A7EC2"/>
    <w:rsid w:val="002B022F"/>
    <w:rsid w:val="002B040D"/>
    <w:rsid w:val="002B08A6"/>
    <w:rsid w:val="002B10D4"/>
    <w:rsid w:val="002B193D"/>
    <w:rsid w:val="002B1CB5"/>
    <w:rsid w:val="002B2731"/>
    <w:rsid w:val="002B2AE3"/>
    <w:rsid w:val="002B2FC3"/>
    <w:rsid w:val="002B38DE"/>
    <w:rsid w:val="002B3BBB"/>
    <w:rsid w:val="002B424C"/>
    <w:rsid w:val="002B4E77"/>
    <w:rsid w:val="002B4EC3"/>
    <w:rsid w:val="002B6222"/>
    <w:rsid w:val="002B6233"/>
    <w:rsid w:val="002B62D1"/>
    <w:rsid w:val="002B6C18"/>
    <w:rsid w:val="002B7F3D"/>
    <w:rsid w:val="002C057F"/>
    <w:rsid w:val="002C0ABF"/>
    <w:rsid w:val="002C153E"/>
    <w:rsid w:val="002C1635"/>
    <w:rsid w:val="002C20E3"/>
    <w:rsid w:val="002C21D8"/>
    <w:rsid w:val="002C2693"/>
    <w:rsid w:val="002C275A"/>
    <w:rsid w:val="002C28F3"/>
    <w:rsid w:val="002C3166"/>
    <w:rsid w:val="002C32CF"/>
    <w:rsid w:val="002C5379"/>
    <w:rsid w:val="002C56C8"/>
    <w:rsid w:val="002C59EA"/>
    <w:rsid w:val="002C5D13"/>
    <w:rsid w:val="002C60CF"/>
    <w:rsid w:val="002C6FD9"/>
    <w:rsid w:val="002C70BE"/>
    <w:rsid w:val="002D0A4B"/>
    <w:rsid w:val="002D10E0"/>
    <w:rsid w:val="002D1FC0"/>
    <w:rsid w:val="002D2FDD"/>
    <w:rsid w:val="002D370D"/>
    <w:rsid w:val="002D37AC"/>
    <w:rsid w:val="002D3DDE"/>
    <w:rsid w:val="002D4165"/>
    <w:rsid w:val="002D41BE"/>
    <w:rsid w:val="002D4892"/>
    <w:rsid w:val="002D5967"/>
    <w:rsid w:val="002D64A5"/>
    <w:rsid w:val="002D7C04"/>
    <w:rsid w:val="002E055C"/>
    <w:rsid w:val="002E08F3"/>
    <w:rsid w:val="002E0AB3"/>
    <w:rsid w:val="002E0F49"/>
    <w:rsid w:val="002E1421"/>
    <w:rsid w:val="002E1B30"/>
    <w:rsid w:val="002E355D"/>
    <w:rsid w:val="002E3EDD"/>
    <w:rsid w:val="002E4746"/>
    <w:rsid w:val="002E49EE"/>
    <w:rsid w:val="002E53FC"/>
    <w:rsid w:val="002E5514"/>
    <w:rsid w:val="002E6348"/>
    <w:rsid w:val="002E6BD0"/>
    <w:rsid w:val="002E7E10"/>
    <w:rsid w:val="002F104E"/>
    <w:rsid w:val="002F10F2"/>
    <w:rsid w:val="002F12FE"/>
    <w:rsid w:val="002F1438"/>
    <w:rsid w:val="002F21B8"/>
    <w:rsid w:val="002F240B"/>
    <w:rsid w:val="002F292F"/>
    <w:rsid w:val="002F2CA5"/>
    <w:rsid w:val="002F2D59"/>
    <w:rsid w:val="002F3005"/>
    <w:rsid w:val="002F3A22"/>
    <w:rsid w:val="002F3C85"/>
    <w:rsid w:val="002F52A6"/>
    <w:rsid w:val="002F5386"/>
    <w:rsid w:val="002F58FD"/>
    <w:rsid w:val="002F5B9C"/>
    <w:rsid w:val="002F5DE1"/>
    <w:rsid w:val="002F6207"/>
    <w:rsid w:val="002F6DFE"/>
    <w:rsid w:val="002F6EAE"/>
    <w:rsid w:val="002F7101"/>
    <w:rsid w:val="002F7186"/>
    <w:rsid w:val="0030081F"/>
    <w:rsid w:val="0030125B"/>
    <w:rsid w:val="00301B38"/>
    <w:rsid w:val="00301C41"/>
    <w:rsid w:val="00301C4A"/>
    <w:rsid w:val="003028AD"/>
    <w:rsid w:val="00302B42"/>
    <w:rsid w:val="00302ED0"/>
    <w:rsid w:val="0030460F"/>
    <w:rsid w:val="00304620"/>
    <w:rsid w:val="00304990"/>
    <w:rsid w:val="00304B10"/>
    <w:rsid w:val="00304B9C"/>
    <w:rsid w:val="00305511"/>
    <w:rsid w:val="003063E4"/>
    <w:rsid w:val="00306B37"/>
    <w:rsid w:val="00306BE7"/>
    <w:rsid w:val="0030774A"/>
    <w:rsid w:val="00307962"/>
    <w:rsid w:val="00307A4B"/>
    <w:rsid w:val="00307DFA"/>
    <w:rsid w:val="00310297"/>
    <w:rsid w:val="003104FE"/>
    <w:rsid w:val="00310D52"/>
    <w:rsid w:val="00311B15"/>
    <w:rsid w:val="00311BEE"/>
    <w:rsid w:val="00313207"/>
    <w:rsid w:val="00313350"/>
    <w:rsid w:val="0031343E"/>
    <w:rsid w:val="0031359D"/>
    <w:rsid w:val="003138E8"/>
    <w:rsid w:val="003145A4"/>
    <w:rsid w:val="00314DAD"/>
    <w:rsid w:val="00314F49"/>
    <w:rsid w:val="00315C85"/>
    <w:rsid w:val="00315F97"/>
    <w:rsid w:val="00317012"/>
    <w:rsid w:val="00317357"/>
    <w:rsid w:val="00317BE9"/>
    <w:rsid w:val="00317D20"/>
    <w:rsid w:val="00320018"/>
    <w:rsid w:val="003205A2"/>
    <w:rsid w:val="00320D73"/>
    <w:rsid w:val="00320EF5"/>
    <w:rsid w:val="003219AB"/>
    <w:rsid w:val="00323202"/>
    <w:rsid w:val="003238B3"/>
    <w:rsid w:val="00323A0A"/>
    <w:rsid w:val="00323D9D"/>
    <w:rsid w:val="003246DA"/>
    <w:rsid w:val="00324E4E"/>
    <w:rsid w:val="003250CE"/>
    <w:rsid w:val="00325521"/>
    <w:rsid w:val="003255DB"/>
    <w:rsid w:val="00325BEA"/>
    <w:rsid w:val="00325E17"/>
    <w:rsid w:val="00325E4D"/>
    <w:rsid w:val="003265DC"/>
    <w:rsid w:val="00326645"/>
    <w:rsid w:val="00326973"/>
    <w:rsid w:val="00327652"/>
    <w:rsid w:val="00327A2E"/>
    <w:rsid w:val="00327DD4"/>
    <w:rsid w:val="00327F1A"/>
    <w:rsid w:val="00330430"/>
    <w:rsid w:val="003313C6"/>
    <w:rsid w:val="00331DF2"/>
    <w:rsid w:val="00331FF3"/>
    <w:rsid w:val="0033220F"/>
    <w:rsid w:val="003323D4"/>
    <w:rsid w:val="00334A7B"/>
    <w:rsid w:val="00335A40"/>
    <w:rsid w:val="00335E85"/>
    <w:rsid w:val="00337135"/>
    <w:rsid w:val="00337548"/>
    <w:rsid w:val="00337708"/>
    <w:rsid w:val="00340CA9"/>
    <w:rsid w:val="0034121D"/>
    <w:rsid w:val="003416E1"/>
    <w:rsid w:val="00341DED"/>
    <w:rsid w:val="0034292B"/>
    <w:rsid w:val="00343D94"/>
    <w:rsid w:val="00344876"/>
    <w:rsid w:val="003449E7"/>
    <w:rsid w:val="00346385"/>
    <w:rsid w:val="003478E2"/>
    <w:rsid w:val="003479E5"/>
    <w:rsid w:val="00347B20"/>
    <w:rsid w:val="00350F66"/>
    <w:rsid w:val="00350F9D"/>
    <w:rsid w:val="0035100C"/>
    <w:rsid w:val="00351022"/>
    <w:rsid w:val="003515A3"/>
    <w:rsid w:val="003518BC"/>
    <w:rsid w:val="00352101"/>
    <w:rsid w:val="00352BC3"/>
    <w:rsid w:val="003539BD"/>
    <w:rsid w:val="00353A61"/>
    <w:rsid w:val="00354D7D"/>
    <w:rsid w:val="00357325"/>
    <w:rsid w:val="003578F9"/>
    <w:rsid w:val="0035796E"/>
    <w:rsid w:val="00357A7C"/>
    <w:rsid w:val="00357E67"/>
    <w:rsid w:val="0036026B"/>
    <w:rsid w:val="00360480"/>
    <w:rsid w:val="003610E1"/>
    <w:rsid w:val="00361347"/>
    <w:rsid w:val="003613AC"/>
    <w:rsid w:val="0036187E"/>
    <w:rsid w:val="003624C6"/>
    <w:rsid w:val="0036275D"/>
    <w:rsid w:val="00362A05"/>
    <w:rsid w:val="0036315C"/>
    <w:rsid w:val="003639A7"/>
    <w:rsid w:val="00363C39"/>
    <w:rsid w:val="00365CD2"/>
    <w:rsid w:val="00366624"/>
    <w:rsid w:val="00370622"/>
    <w:rsid w:val="0037237D"/>
    <w:rsid w:val="00372536"/>
    <w:rsid w:val="00373B1F"/>
    <w:rsid w:val="00373BB9"/>
    <w:rsid w:val="00374166"/>
    <w:rsid w:val="003747DC"/>
    <w:rsid w:val="00374984"/>
    <w:rsid w:val="00374CFB"/>
    <w:rsid w:val="003750FF"/>
    <w:rsid w:val="003752CE"/>
    <w:rsid w:val="00375510"/>
    <w:rsid w:val="003758C8"/>
    <w:rsid w:val="00375AFC"/>
    <w:rsid w:val="00375F79"/>
    <w:rsid w:val="00376536"/>
    <w:rsid w:val="00376BE3"/>
    <w:rsid w:val="00376F4D"/>
    <w:rsid w:val="00377378"/>
    <w:rsid w:val="0037787C"/>
    <w:rsid w:val="003778F6"/>
    <w:rsid w:val="00380709"/>
    <w:rsid w:val="00380FBD"/>
    <w:rsid w:val="003812FC"/>
    <w:rsid w:val="0038131E"/>
    <w:rsid w:val="00382B98"/>
    <w:rsid w:val="0038318F"/>
    <w:rsid w:val="00383E3A"/>
    <w:rsid w:val="00384110"/>
    <w:rsid w:val="00385A47"/>
    <w:rsid w:val="00385CC0"/>
    <w:rsid w:val="00385DAD"/>
    <w:rsid w:val="003861EE"/>
    <w:rsid w:val="00386732"/>
    <w:rsid w:val="00386EAC"/>
    <w:rsid w:val="00386F80"/>
    <w:rsid w:val="00390169"/>
    <w:rsid w:val="00390597"/>
    <w:rsid w:val="003906DE"/>
    <w:rsid w:val="003907EA"/>
    <w:rsid w:val="00391875"/>
    <w:rsid w:val="003919BB"/>
    <w:rsid w:val="00393005"/>
    <w:rsid w:val="003942F8"/>
    <w:rsid w:val="003948DF"/>
    <w:rsid w:val="00394DE7"/>
    <w:rsid w:val="00394FE1"/>
    <w:rsid w:val="00395726"/>
    <w:rsid w:val="00395EF5"/>
    <w:rsid w:val="00395FA0"/>
    <w:rsid w:val="0039690E"/>
    <w:rsid w:val="00396B41"/>
    <w:rsid w:val="00397C14"/>
    <w:rsid w:val="00397D9F"/>
    <w:rsid w:val="003A0203"/>
    <w:rsid w:val="003A0596"/>
    <w:rsid w:val="003A090D"/>
    <w:rsid w:val="003A2089"/>
    <w:rsid w:val="003A23AF"/>
    <w:rsid w:val="003A2C2B"/>
    <w:rsid w:val="003A2F3F"/>
    <w:rsid w:val="003A2FDE"/>
    <w:rsid w:val="003A3577"/>
    <w:rsid w:val="003A3741"/>
    <w:rsid w:val="003A4B3A"/>
    <w:rsid w:val="003A6C1B"/>
    <w:rsid w:val="003A73B0"/>
    <w:rsid w:val="003A7A99"/>
    <w:rsid w:val="003B00D0"/>
    <w:rsid w:val="003B036D"/>
    <w:rsid w:val="003B0502"/>
    <w:rsid w:val="003B0944"/>
    <w:rsid w:val="003B0C13"/>
    <w:rsid w:val="003B17F4"/>
    <w:rsid w:val="003B1A8E"/>
    <w:rsid w:val="003B2D82"/>
    <w:rsid w:val="003B2DD3"/>
    <w:rsid w:val="003B3141"/>
    <w:rsid w:val="003B3326"/>
    <w:rsid w:val="003B34C7"/>
    <w:rsid w:val="003B38E1"/>
    <w:rsid w:val="003B51BF"/>
    <w:rsid w:val="003B6EA6"/>
    <w:rsid w:val="003B76E1"/>
    <w:rsid w:val="003B774B"/>
    <w:rsid w:val="003C04B9"/>
    <w:rsid w:val="003C07D3"/>
    <w:rsid w:val="003C0AC3"/>
    <w:rsid w:val="003C1A81"/>
    <w:rsid w:val="003C1C1A"/>
    <w:rsid w:val="003C2905"/>
    <w:rsid w:val="003C38CE"/>
    <w:rsid w:val="003C3E0C"/>
    <w:rsid w:val="003C4B51"/>
    <w:rsid w:val="003C4E13"/>
    <w:rsid w:val="003C5BDA"/>
    <w:rsid w:val="003C5D32"/>
    <w:rsid w:val="003C73BF"/>
    <w:rsid w:val="003C7A08"/>
    <w:rsid w:val="003D0B03"/>
    <w:rsid w:val="003D0E91"/>
    <w:rsid w:val="003D1A6E"/>
    <w:rsid w:val="003D1C88"/>
    <w:rsid w:val="003D23FB"/>
    <w:rsid w:val="003D35A5"/>
    <w:rsid w:val="003D3819"/>
    <w:rsid w:val="003D3E86"/>
    <w:rsid w:val="003D4E42"/>
    <w:rsid w:val="003D50FA"/>
    <w:rsid w:val="003D55F3"/>
    <w:rsid w:val="003D5D91"/>
    <w:rsid w:val="003D5FAD"/>
    <w:rsid w:val="003D61E6"/>
    <w:rsid w:val="003D6394"/>
    <w:rsid w:val="003D66BB"/>
    <w:rsid w:val="003D6BEC"/>
    <w:rsid w:val="003D731D"/>
    <w:rsid w:val="003D7815"/>
    <w:rsid w:val="003D7831"/>
    <w:rsid w:val="003D7B0E"/>
    <w:rsid w:val="003E08A2"/>
    <w:rsid w:val="003E08CE"/>
    <w:rsid w:val="003E1247"/>
    <w:rsid w:val="003E1E06"/>
    <w:rsid w:val="003E3747"/>
    <w:rsid w:val="003E41B7"/>
    <w:rsid w:val="003E4556"/>
    <w:rsid w:val="003E4B6E"/>
    <w:rsid w:val="003E578D"/>
    <w:rsid w:val="003E5CC5"/>
    <w:rsid w:val="003E5F10"/>
    <w:rsid w:val="003E6387"/>
    <w:rsid w:val="003E6704"/>
    <w:rsid w:val="003F0D96"/>
    <w:rsid w:val="003F1769"/>
    <w:rsid w:val="003F2064"/>
    <w:rsid w:val="003F2482"/>
    <w:rsid w:val="003F2AD6"/>
    <w:rsid w:val="003F2D05"/>
    <w:rsid w:val="003F33BD"/>
    <w:rsid w:val="003F3C53"/>
    <w:rsid w:val="003F4094"/>
    <w:rsid w:val="003F44DE"/>
    <w:rsid w:val="003F5C22"/>
    <w:rsid w:val="003F6F7D"/>
    <w:rsid w:val="003F7098"/>
    <w:rsid w:val="003F7D52"/>
    <w:rsid w:val="00402405"/>
    <w:rsid w:val="0040336D"/>
    <w:rsid w:val="00403F95"/>
    <w:rsid w:val="00404710"/>
    <w:rsid w:val="00404C3D"/>
    <w:rsid w:val="0040532A"/>
    <w:rsid w:val="0040541E"/>
    <w:rsid w:val="00405540"/>
    <w:rsid w:val="00405A9C"/>
    <w:rsid w:val="004060BF"/>
    <w:rsid w:val="00407F54"/>
    <w:rsid w:val="00410258"/>
    <w:rsid w:val="004103CD"/>
    <w:rsid w:val="004104FE"/>
    <w:rsid w:val="00410B7A"/>
    <w:rsid w:val="00411707"/>
    <w:rsid w:val="004119E6"/>
    <w:rsid w:val="00411B6A"/>
    <w:rsid w:val="0041213B"/>
    <w:rsid w:val="00413409"/>
    <w:rsid w:val="00413935"/>
    <w:rsid w:val="00413972"/>
    <w:rsid w:val="00414374"/>
    <w:rsid w:val="00415D4E"/>
    <w:rsid w:val="004177BB"/>
    <w:rsid w:val="00421E21"/>
    <w:rsid w:val="00423290"/>
    <w:rsid w:val="004235D6"/>
    <w:rsid w:val="00423A6C"/>
    <w:rsid w:val="00423C63"/>
    <w:rsid w:val="00424944"/>
    <w:rsid w:val="00424CD8"/>
    <w:rsid w:val="0042512B"/>
    <w:rsid w:val="00425BB1"/>
    <w:rsid w:val="0042616E"/>
    <w:rsid w:val="00426C5A"/>
    <w:rsid w:val="00426D48"/>
    <w:rsid w:val="00426F43"/>
    <w:rsid w:val="00426FEC"/>
    <w:rsid w:val="004273B0"/>
    <w:rsid w:val="00427B72"/>
    <w:rsid w:val="00427D7C"/>
    <w:rsid w:val="00427DA5"/>
    <w:rsid w:val="00430BBB"/>
    <w:rsid w:val="00431DCD"/>
    <w:rsid w:val="00431F0D"/>
    <w:rsid w:val="00432E58"/>
    <w:rsid w:val="00432F1C"/>
    <w:rsid w:val="00433181"/>
    <w:rsid w:val="00434539"/>
    <w:rsid w:val="004349C7"/>
    <w:rsid w:val="00434AD5"/>
    <w:rsid w:val="00435051"/>
    <w:rsid w:val="00435A59"/>
    <w:rsid w:val="00435B49"/>
    <w:rsid w:val="00436020"/>
    <w:rsid w:val="004366E3"/>
    <w:rsid w:val="004370FE"/>
    <w:rsid w:val="004374DC"/>
    <w:rsid w:val="00437AC3"/>
    <w:rsid w:val="0044143D"/>
    <w:rsid w:val="00441FB0"/>
    <w:rsid w:val="00442B04"/>
    <w:rsid w:val="00443D6C"/>
    <w:rsid w:val="00443F93"/>
    <w:rsid w:val="00444537"/>
    <w:rsid w:val="00445486"/>
    <w:rsid w:val="00446CEC"/>
    <w:rsid w:val="00447337"/>
    <w:rsid w:val="0044762B"/>
    <w:rsid w:val="00447F5E"/>
    <w:rsid w:val="0045051F"/>
    <w:rsid w:val="00450C7A"/>
    <w:rsid w:val="00451744"/>
    <w:rsid w:val="004524EE"/>
    <w:rsid w:val="00452A18"/>
    <w:rsid w:val="00452F48"/>
    <w:rsid w:val="00453869"/>
    <w:rsid w:val="00453CA5"/>
    <w:rsid w:val="00453EF7"/>
    <w:rsid w:val="00454373"/>
    <w:rsid w:val="0045470A"/>
    <w:rsid w:val="00454960"/>
    <w:rsid w:val="0045561F"/>
    <w:rsid w:val="00456195"/>
    <w:rsid w:val="004569E2"/>
    <w:rsid w:val="00456C0F"/>
    <w:rsid w:val="00457C98"/>
    <w:rsid w:val="00460C03"/>
    <w:rsid w:val="004614AC"/>
    <w:rsid w:val="004617FD"/>
    <w:rsid w:val="004625A5"/>
    <w:rsid w:val="00462CBE"/>
    <w:rsid w:val="0046388D"/>
    <w:rsid w:val="0046512B"/>
    <w:rsid w:val="00466285"/>
    <w:rsid w:val="004673A6"/>
    <w:rsid w:val="0046788F"/>
    <w:rsid w:val="004678DF"/>
    <w:rsid w:val="00467E97"/>
    <w:rsid w:val="00471337"/>
    <w:rsid w:val="0047184F"/>
    <w:rsid w:val="0047196B"/>
    <w:rsid w:val="00472D60"/>
    <w:rsid w:val="00472E68"/>
    <w:rsid w:val="00472F07"/>
    <w:rsid w:val="00473243"/>
    <w:rsid w:val="0047429D"/>
    <w:rsid w:val="0047535C"/>
    <w:rsid w:val="004763BA"/>
    <w:rsid w:val="0047655C"/>
    <w:rsid w:val="0047664E"/>
    <w:rsid w:val="004772E7"/>
    <w:rsid w:val="00477B8E"/>
    <w:rsid w:val="0048105F"/>
    <w:rsid w:val="0048147B"/>
    <w:rsid w:val="00482138"/>
    <w:rsid w:val="00482320"/>
    <w:rsid w:val="00482525"/>
    <w:rsid w:val="004826DC"/>
    <w:rsid w:val="004827A2"/>
    <w:rsid w:val="00482F57"/>
    <w:rsid w:val="004839E8"/>
    <w:rsid w:val="004842B2"/>
    <w:rsid w:val="004843BA"/>
    <w:rsid w:val="004846ED"/>
    <w:rsid w:val="00484836"/>
    <w:rsid w:val="0048506D"/>
    <w:rsid w:val="00485292"/>
    <w:rsid w:val="00485458"/>
    <w:rsid w:val="00485612"/>
    <w:rsid w:val="00487A02"/>
    <w:rsid w:val="00487CD0"/>
    <w:rsid w:val="00490EBF"/>
    <w:rsid w:val="00491162"/>
    <w:rsid w:val="004911EE"/>
    <w:rsid w:val="00491578"/>
    <w:rsid w:val="004919E5"/>
    <w:rsid w:val="00492904"/>
    <w:rsid w:val="00492D6E"/>
    <w:rsid w:val="00493116"/>
    <w:rsid w:val="004931DD"/>
    <w:rsid w:val="00493535"/>
    <w:rsid w:val="00493C12"/>
    <w:rsid w:val="00493EF7"/>
    <w:rsid w:val="004940D5"/>
    <w:rsid w:val="004941AD"/>
    <w:rsid w:val="00494972"/>
    <w:rsid w:val="00494B17"/>
    <w:rsid w:val="00494F37"/>
    <w:rsid w:val="00494F85"/>
    <w:rsid w:val="004955F5"/>
    <w:rsid w:val="00496200"/>
    <w:rsid w:val="00496383"/>
    <w:rsid w:val="00496B61"/>
    <w:rsid w:val="00496DE7"/>
    <w:rsid w:val="0049741E"/>
    <w:rsid w:val="0049775E"/>
    <w:rsid w:val="00497EC8"/>
    <w:rsid w:val="004A036D"/>
    <w:rsid w:val="004A0778"/>
    <w:rsid w:val="004A0ACC"/>
    <w:rsid w:val="004A0DEF"/>
    <w:rsid w:val="004A11EA"/>
    <w:rsid w:val="004A1D1D"/>
    <w:rsid w:val="004A23AC"/>
    <w:rsid w:val="004A248E"/>
    <w:rsid w:val="004A2BBF"/>
    <w:rsid w:val="004A32D8"/>
    <w:rsid w:val="004A3339"/>
    <w:rsid w:val="004A42D4"/>
    <w:rsid w:val="004A48A8"/>
    <w:rsid w:val="004A4974"/>
    <w:rsid w:val="004A4ED6"/>
    <w:rsid w:val="004A50BD"/>
    <w:rsid w:val="004A5E3F"/>
    <w:rsid w:val="004A5FF7"/>
    <w:rsid w:val="004A6252"/>
    <w:rsid w:val="004A6462"/>
    <w:rsid w:val="004A6EC8"/>
    <w:rsid w:val="004A76AF"/>
    <w:rsid w:val="004A774C"/>
    <w:rsid w:val="004A7767"/>
    <w:rsid w:val="004A7988"/>
    <w:rsid w:val="004B0022"/>
    <w:rsid w:val="004B01C2"/>
    <w:rsid w:val="004B0B99"/>
    <w:rsid w:val="004B141C"/>
    <w:rsid w:val="004B1423"/>
    <w:rsid w:val="004B1F03"/>
    <w:rsid w:val="004B28AE"/>
    <w:rsid w:val="004B3791"/>
    <w:rsid w:val="004B458F"/>
    <w:rsid w:val="004B53F0"/>
    <w:rsid w:val="004B5861"/>
    <w:rsid w:val="004B59A2"/>
    <w:rsid w:val="004B629D"/>
    <w:rsid w:val="004B6983"/>
    <w:rsid w:val="004B6A81"/>
    <w:rsid w:val="004B6E1C"/>
    <w:rsid w:val="004B6F06"/>
    <w:rsid w:val="004B72A2"/>
    <w:rsid w:val="004B7788"/>
    <w:rsid w:val="004B7F11"/>
    <w:rsid w:val="004C0E06"/>
    <w:rsid w:val="004C212F"/>
    <w:rsid w:val="004C23AC"/>
    <w:rsid w:val="004C3B7C"/>
    <w:rsid w:val="004C3F33"/>
    <w:rsid w:val="004C40EA"/>
    <w:rsid w:val="004C482F"/>
    <w:rsid w:val="004C5793"/>
    <w:rsid w:val="004C695F"/>
    <w:rsid w:val="004C6D06"/>
    <w:rsid w:val="004C70B9"/>
    <w:rsid w:val="004D032E"/>
    <w:rsid w:val="004D07BE"/>
    <w:rsid w:val="004D08D9"/>
    <w:rsid w:val="004D0D87"/>
    <w:rsid w:val="004D0DFD"/>
    <w:rsid w:val="004D16C6"/>
    <w:rsid w:val="004D1756"/>
    <w:rsid w:val="004D194A"/>
    <w:rsid w:val="004D306B"/>
    <w:rsid w:val="004D3404"/>
    <w:rsid w:val="004D39D4"/>
    <w:rsid w:val="004D3B38"/>
    <w:rsid w:val="004D45D9"/>
    <w:rsid w:val="004D461D"/>
    <w:rsid w:val="004D475B"/>
    <w:rsid w:val="004D54E4"/>
    <w:rsid w:val="004D5567"/>
    <w:rsid w:val="004D5760"/>
    <w:rsid w:val="004D6751"/>
    <w:rsid w:val="004D7673"/>
    <w:rsid w:val="004D77F0"/>
    <w:rsid w:val="004D79F9"/>
    <w:rsid w:val="004E04CC"/>
    <w:rsid w:val="004E116C"/>
    <w:rsid w:val="004E1239"/>
    <w:rsid w:val="004E206F"/>
    <w:rsid w:val="004E2CFB"/>
    <w:rsid w:val="004E554F"/>
    <w:rsid w:val="004E5929"/>
    <w:rsid w:val="004E6522"/>
    <w:rsid w:val="004E74A0"/>
    <w:rsid w:val="004F03D7"/>
    <w:rsid w:val="004F0DB7"/>
    <w:rsid w:val="004F1F0E"/>
    <w:rsid w:val="004F1F71"/>
    <w:rsid w:val="004F2325"/>
    <w:rsid w:val="004F2D51"/>
    <w:rsid w:val="004F2E23"/>
    <w:rsid w:val="004F2FA9"/>
    <w:rsid w:val="004F32AE"/>
    <w:rsid w:val="004F3478"/>
    <w:rsid w:val="004F3C56"/>
    <w:rsid w:val="004F402D"/>
    <w:rsid w:val="004F4DCF"/>
    <w:rsid w:val="004F55B4"/>
    <w:rsid w:val="004F567E"/>
    <w:rsid w:val="004F59E2"/>
    <w:rsid w:val="004F651F"/>
    <w:rsid w:val="004F6D6C"/>
    <w:rsid w:val="004F70BF"/>
    <w:rsid w:val="004F770B"/>
    <w:rsid w:val="004F7B9C"/>
    <w:rsid w:val="00500042"/>
    <w:rsid w:val="00500430"/>
    <w:rsid w:val="005005E4"/>
    <w:rsid w:val="00500E37"/>
    <w:rsid w:val="00500ED6"/>
    <w:rsid w:val="0050119B"/>
    <w:rsid w:val="00501584"/>
    <w:rsid w:val="00501E09"/>
    <w:rsid w:val="00501FBF"/>
    <w:rsid w:val="00502064"/>
    <w:rsid w:val="00502B46"/>
    <w:rsid w:val="00504553"/>
    <w:rsid w:val="00504E53"/>
    <w:rsid w:val="00505137"/>
    <w:rsid w:val="00505919"/>
    <w:rsid w:val="00506D0E"/>
    <w:rsid w:val="005073A0"/>
    <w:rsid w:val="00507B38"/>
    <w:rsid w:val="00507CA2"/>
    <w:rsid w:val="00507CDC"/>
    <w:rsid w:val="00507F61"/>
    <w:rsid w:val="0051022F"/>
    <w:rsid w:val="0051024E"/>
    <w:rsid w:val="00510287"/>
    <w:rsid w:val="00510E80"/>
    <w:rsid w:val="005115B9"/>
    <w:rsid w:val="0051182C"/>
    <w:rsid w:val="00511DCE"/>
    <w:rsid w:val="005136D5"/>
    <w:rsid w:val="0051451A"/>
    <w:rsid w:val="00514741"/>
    <w:rsid w:val="00514A2C"/>
    <w:rsid w:val="00514F37"/>
    <w:rsid w:val="0051540A"/>
    <w:rsid w:val="00516794"/>
    <w:rsid w:val="005167CD"/>
    <w:rsid w:val="0051697B"/>
    <w:rsid w:val="0052149A"/>
    <w:rsid w:val="005217B9"/>
    <w:rsid w:val="00521817"/>
    <w:rsid w:val="00521D07"/>
    <w:rsid w:val="00521D8A"/>
    <w:rsid w:val="005224C3"/>
    <w:rsid w:val="005224DB"/>
    <w:rsid w:val="005232A7"/>
    <w:rsid w:val="00526C81"/>
    <w:rsid w:val="00527375"/>
    <w:rsid w:val="00527B09"/>
    <w:rsid w:val="00527C37"/>
    <w:rsid w:val="00527CB9"/>
    <w:rsid w:val="00527F06"/>
    <w:rsid w:val="005301E2"/>
    <w:rsid w:val="00530E66"/>
    <w:rsid w:val="00530E94"/>
    <w:rsid w:val="00531605"/>
    <w:rsid w:val="005327F2"/>
    <w:rsid w:val="00532B3E"/>
    <w:rsid w:val="00532F53"/>
    <w:rsid w:val="0053412C"/>
    <w:rsid w:val="005346C2"/>
    <w:rsid w:val="0053471D"/>
    <w:rsid w:val="00534C3A"/>
    <w:rsid w:val="00534CB0"/>
    <w:rsid w:val="005350A2"/>
    <w:rsid w:val="00535676"/>
    <w:rsid w:val="00535902"/>
    <w:rsid w:val="00536E95"/>
    <w:rsid w:val="00536F9B"/>
    <w:rsid w:val="00537492"/>
    <w:rsid w:val="00541907"/>
    <w:rsid w:val="00541EB8"/>
    <w:rsid w:val="005424E1"/>
    <w:rsid w:val="005426EB"/>
    <w:rsid w:val="00543141"/>
    <w:rsid w:val="00543673"/>
    <w:rsid w:val="00543916"/>
    <w:rsid w:val="00543F2B"/>
    <w:rsid w:val="00545247"/>
    <w:rsid w:val="00545AD2"/>
    <w:rsid w:val="00545E9F"/>
    <w:rsid w:val="00546083"/>
    <w:rsid w:val="00546A28"/>
    <w:rsid w:val="00547468"/>
    <w:rsid w:val="0054768C"/>
    <w:rsid w:val="00551BC5"/>
    <w:rsid w:val="005522A5"/>
    <w:rsid w:val="00552E23"/>
    <w:rsid w:val="00553518"/>
    <w:rsid w:val="005545EE"/>
    <w:rsid w:val="00554B31"/>
    <w:rsid w:val="00554F11"/>
    <w:rsid w:val="00555BB4"/>
    <w:rsid w:val="005563D0"/>
    <w:rsid w:val="00556641"/>
    <w:rsid w:val="00557B91"/>
    <w:rsid w:val="00560EA7"/>
    <w:rsid w:val="00560F4C"/>
    <w:rsid w:val="0056233C"/>
    <w:rsid w:val="005630B4"/>
    <w:rsid w:val="005630E6"/>
    <w:rsid w:val="00564D1C"/>
    <w:rsid w:val="00565104"/>
    <w:rsid w:val="00565108"/>
    <w:rsid w:val="005654CC"/>
    <w:rsid w:val="00565911"/>
    <w:rsid w:val="00565DAC"/>
    <w:rsid w:val="00570570"/>
    <w:rsid w:val="00570B89"/>
    <w:rsid w:val="0057165B"/>
    <w:rsid w:val="00571F57"/>
    <w:rsid w:val="0057232D"/>
    <w:rsid w:val="00572703"/>
    <w:rsid w:val="00574AE9"/>
    <w:rsid w:val="00575067"/>
    <w:rsid w:val="0057526D"/>
    <w:rsid w:val="005759A8"/>
    <w:rsid w:val="00575F37"/>
    <w:rsid w:val="005765A5"/>
    <w:rsid w:val="00576633"/>
    <w:rsid w:val="00576C86"/>
    <w:rsid w:val="00577F48"/>
    <w:rsid w:val="00580040"/>
    <w:rsid w:val="0058018E"/>
    <w:rsid w:val="005808D4"/>
    <w:rsid w:val="005812F4"/>
    <w:rsid w:val="005813DD"/>
    <w:rsid w:val="00581CB8"/>
    <w:rsid w:val="005827A2"/>
    <w:rsid w:val="005833A9"/>
    <w:rsid w:val="005833F6"/>
    <w:rsid w:val="005836EA"/>
    <w:rsid w:val="00583777"/>
    <w:rsid w:val="00583CE4"/>
    <w:rsid w:val="00584B08"/>
    <w:rsid w:val="005856F7"/>
    <w:rsid w:val="00587258"/>
    <w:rsid w:val="00587EE1"/>
    <w:rsid w:val="00590102"/>
    <w:rsid w:val="00590E04"/>
    <w:rsid w:val="00590EF2"/>
    <w:rsid w:val="00591500"/>
    <w:rsid w:val="00591737"/>
    <w:rsid w:val="0059254E"/>
    <w:rsid w:val="005927F7"/>
    <w:rsid w:val="005930C6"/>
    <w:rsid w:val="00593553"/>
    <w:rsid w:val="00593E51"/>
    <w:rsid w:val="00594318"/>
    <w:rsid w:val="0059486E"/>
    <w:rsid w:val="00594AE6"/>
    <w:rsid w:val="00596CC5"/>
    <w:rsid w:val="00596DB5"/>
    <w:rsid w:val="005972B3"/>
    <w:rsid w:val="005A1921"/>
    <w:rsid w:val="005A1D82"/>
    <w:rsid w:val="005A24CC"/>
    <w:rsid w:val="005A2E5B"/>
    <w:rsid w:val="005A31AB"/>
    <w:rsid w:val="005A3452"/>
    <w:rsid w:val="005A35DB"/>
    <w:rsid w:val="005A4315"/>
    <w:rsid w:val="005A4A09"/>
    <w:rsid w:val="005A4A51"/>
    <w:rsid w:val="005A4A5B"/>
    <w:rsid w:val="005A56E5"/>
    <w:rsid w:val="005A5AAD"/>
    <w:rsid w:val="005A604B"/>
    <w:rsid w:val="005A6FBC"/>
    <w:rsid w:val="005A76BF"/>
    <w:rsid w:val="005A7ED4"/>
    <w:rsid w:val="005B010D"/>
    <w:rsid w:val="005B08B3"/>
    <w:rsid w:val="005B153B"/>
    <w:rsid w:val="005B16FE"/>
    <w:rsid w:val="005B1C35"/>
    <w:rsid w:val="005B3AB8"/>
    <w:rsid w:val="005B3C48"/>
    <w:rsid w:val="005B3C89"/>
    <w:rsid w:val="005B3D43"/>
    <w:rsid w:val="005B4525"/>
    <w:rsid w:val="005B58ED"/>
    <w:rsid w:val="005B6B38"/>
    <w:rsid w:val="005B7755"/>
    <w:rsid w:val="005B7BCE"/>
    <w:rsid w:val="005C06D6"/>
    <w:rsid w:val="005C1446"/>
    <w:rsid w:val="005C195E"/>
    <w:rsid w:val="005C1CFC"/>
    <w:rsid w:val="005C1D4F"/>
    <w:rsid w:val="005C2F9C"/>
    <w:rsid w:val="005C39DA"/>
    <w:rsid w:val="005C39E4"/>
    <w:rsid w:val="005C3D4D"/>
    <w:rsid w:val="005C42EB"/>
    <w:rsid w:val="005C5308"/>
    <w:rsid w:val="005C729F"/>
    <w:rsid w:val="005C7500"/>
    <w:rsid w:val="005C7881"/>
    <w:rsid w:val="005C7EEE"/>
    <w:rsid w:val="005D04BE"/>
    <w:rsid w:val="005D09EA"/>
    <w:rsid w:val="005D0BE9"/>
    <w:rsid w:val="005D0C15"/>
    <w:rsid w:val="005D0FC1"/>
    <w:rsid w:val="005D1814"/>
    <w:rsid w:val="005D2F5B"/>
    <w:rsid w:val="005D3B47"/>
    <w:rsid w:val="005D3D1E"/>
    <w:rsid w:val="005D499F"/>
    <w:rsid w:val="005D4D80"/>
    <w:rsid w:val="005D65E6"/>
    <w:rsid w:val="005D6E4C"/>
    <w:rsid w:val="005D6F45"/>
    <w:rsid w:val="005D7024"/>
    <w:rsid w:val="005D71F0"/>
    <w:rsid w:val="005D7307"/>
    <w:rsid w:val="005D770D"/>
    <w:rsid w:val="005D775A"/>
    <w:rsid w:val="005D7E59"/>
    <w:rsid w:val="005E0505"/>
    <w:rsid w:val="005E19C3"/>
    <w:rsid w:val="005E26BD"/>
    <w:rsid w:val="005E321D"/>
    <w:rsid w:val="005E38D5"/>
    <w:rsid w:val="005E3924"/>
    <w:rsid w:val="005E40D8"/>
    <w:rsid w:val="005E4B91"/>
    <w:rsid w:val="005E50E3"/>
    <w:rsid w:val="005E58EF"/>
    <w:rsid w:val="005E6B9A"/>
    <w:rsid w:val="005E6E4D"/>
    <w:rsid w:val="005E7480"/>
    <w:rsid w:val="005F073A"/>
    <w:rsid w:val="005F0807"/>
    <w:rsid w:val="005F12AE"/>
    <w:rsid w:val="005F17D7"/>
    <w:rsid w:val="005F2729"/>
    <w:rsid w:val="005F3DFB"/>
    <w:rsid w:val="005F47A2"/>
    <w:rsid w:val="005F4B92"/>
    <w:rsid w:val="005F4C3D"/>
    <w:rsid w:val="005F5E68"/>
    <w:rsid w:val="005F6AE1"/>
    <w:rsid w:val="005F70AC"/>
    <w:rsid w:val="005F7248"/>
    <w:rsid w:val="005F72A2"/>
    <w:rsid w:val="005F78E2"/>
    <w:rsid w:val="005F79C7"/>
    <w:rsid w:val="005F7BAD"/>
    <w:rsid w:val="00601810"/>
    <w:rsid w:val="00601BEF"/>
    <w:rsid w:val="0060218E"/>
    <w:rsid w:val="006021B4"/>
    <w:rsid w:val="00602309"/>
    <w:rsid w:val="00602679"/>
    <w:rsid w:val="00602C3E"/>
    <w:rsid w:val="00603230"/>
    <w:rsid w:val="00604281"/>
    <w:rsid w:val="006048E2"/>
    <w:rsid w:val="00605181"/>
    <w:rsid w:val="006055D0"/>
    <w:rsid w:val="00605D98"/>
    <w:rsid w:val="006064C7"/>
    <w:rsid w:val="006065A0"/>
    <w:rsid w:val="006076BE"/>
    <w:rsid w:val="006104F0"/>
    <w:rsid w:val="006108BA"/>
    <w:rsid w:val="00610A88"/>
    <w:rsid w:val="00612409"/>
    <w:rsid w:val="00612EFD"/>
    <w:rsid w:val="00612F7B"/>
    <w:rsid w:val="0061355B"/>
    <w:rsid w:val="006135AF"/>
    <w:rsid w:val="00614414"/>
    <w:rsid w:val="00614442"/>
    <w:rsid w:val="00615017"/>
    <w:rsid w:val="00615183"/>
    <w:rsid w:val="00615660"/>
    <w:rsid w:val="006161E8"/>
    <w:rsid w:val="00617138"/>
    <w:rsid w:val="006176A5"/>
    <w:rsid w:val="006207BB"/>
    <w:rsid w:val="00622659"/>
    <w:rsid w:val="00622B35"/>
    <w:rsid w:val="00623820"/>
    <w:rsid w:val="00623A04"/>
    <w:rsid w:val="00624B8F"/>
    <w:rsid w:val="0062569E"/>
    <w:rsid w:val="00625F3A"/>
    <w:rsid w:val="00626519"/>
    <w:rsid w:val="006268CF"/>
    <w:rsid w:val="00627016"/>
    <w:rsid w:val="00627C33"/>
    <w:rsid w:val="0063112C"/>
    <w:rsid w:val="00631583"/>
    <w:rsid w:val="006316B1"/>
    <w:rsid w:val="006319B0"/>
    <w:rsid w:val="00631F5E"/>
    <w:rsid w:val="00632020"/>
    <w:rsid w:val="00632035"/>
    <w:rsid w:val="00632EB2"/>
    <w:rsid w:val="0063450A"/>
    <w:rsid w:val="00634682"/>
    <w:rsid w:val="0063496D"/>
    <w:rsid w:val="00636054"/>
    <w:rsid w:val="00636608"/>
    <w:rsid w:val="006379DA"/>
    <w:rsid w:val="00637DBA"/>
    <w:rsid w:val="00640749"/>
    <w:rsid w:val="00641952"/>
    <w:rsid w:val="00642778"/>
    <w:rsid w:val="00642D03"/>
    <w:rsid w:val="0064420F"/>
    <w:rsid w:val="0064465A"/>
    <w:rsid w:val="00644C17"/>
    <w:rsid w:val="00644EAE"/>
    <w:rsid w:val="00645082"/>
    <w:rsid w:val="00645558"/>
    <w:rsid w:val="00645BC6"/>
    <w:rsid w:val="0064691A"/>
    <w:rsid w:val="006471F4"/>
    <w:rsid w:val="0064776F"/>
    <w:rsid w:val="00647774"/>
    <w:rsid w:val="00647B9B"/>
    <w:rsid w:val="00647DAB"/>
    <w:rsid w:val="006501A3"/>
    <w:rsid w:val="0065137C"/>
    <w:rsid w:val="00651781"/>
    <w:rsid w:val="00651941"/>
    <w:rsid w:val="00652316"/>
    <w:rsid w:val="00653451"/>
    <w:rsid w:val="00653B61"/>
    <w:rsid w:val="0065412C"/>
    <w:rsid w:val="00654636"/>
    <w:rsid w:val="00654B98"/>
    <w:rsid w:val="00654DFA"/>
    <w:rsid w:val="00655457"/>
    <w:rsid w:val="0065554D"/>
    <w:rsid w:val="006556C3"/>
    <w:rsid w:val="0065674E"/>
    <w:rsid w:val="00656A55"/>
    <w:rsid w:val="00657332"/>
    <w:rsid w:val="0065752D"/>
    <w:rsid w:val="006577E1"/>
    <w:rsid w:val="006578CB"/>
    <w:rsid w:val="00657907"/>
    <w:rsid w:val="006607FE"/>
    <w:rsid w:val="00660F52"/>
    <w:rsid w:val="006611CF"/>
    <w:rsid w:val="006613EF"/>
    <w:rsid w:val="00661778"/>
    <w:rsid w:val="00662A79"/>
    <w:rsid w:val="00663D7D"/>
    <w:rsid w:val="00663D90"/>
    <w:rsid w:val="0066402D"/>
    <w:rsid w:val="006649BB"/>
    <w:rsid w:val="00664B4A"/>
    <w:rsid w:val="006656B6"/>
    <w:rsid w:val="00665B01"/>
    <w:rsid w:val="00665F63"/>
    <w:rsid w:val="00666434"/>
    <w:rsid w:val="006666B4"/>
    <w:rsid w:val="00667052"/>
    <w:rsid w:val="00667476"/>
    <w:rsid w:val="006674B7"/>
    <w:rsid w:val="00667FE1"/>
    <w:rsid w:val="006700B0"/>
    <w:rsid w:val="00670441"/>
    <w:rsid w:val="006704DE"/>
    <w:rsid w:val="006712FF"/>
    <w:rsid w:val="00671FCE"/>
    <w:rsid w:val="00672048"/>
    <w:rsid w:val="00672125"/>
    <w:rsid w:val="0067248C"/>
    <w:rsid w:val="00672912"/>
    <w:rsid w:val="0067356F"/>
    <w:rsid w:val="00673819"/>
    <w:rsid w:val="00673C32"/>
    <w:rsid w:val="00673F37"/>
    <w:rsid w:val="00674278"/>
    <w:rsid w:val="00674FD7"/>
    <w:rsid w:val="006752CF"/>
    <w:rsid w:val="006761CE"/>
    <w:rsid w:val="0067660C"/>
    <w:rsid w:val="006767BF"/>
    <w:rsid w:val="00676B1E"/>
    <w:rsid w:val="00676F8A"/>
    <w:rsid w:val="00677C28"/>
    <w:rsid w:val="006806C1"/>
    <w:rsid w:val="00680842"/>
    <w:rsid w:val="00681135"/>
    <w:rsid w:val="0068174D"/>
    <w:rsid w:val="00681811"/>
    <w:rsid w:val="00681B4D"/>
    <w:rsid w:val="0068337C"/>
    <w:rsid w:val="00683871"/>
    <w:rsid w:val="00684029"/>
    <w:rsid w:val="006846CF"/>
    <w:rsid w:val="00685C2E"/>
    <w:rsid w:val="00685E7A"/>
    <w:rsid w:val="00686910"/>
    <w:rsid w:val="00687C95"/>
    <w:rsid w:val="006903A1"/>
    <w:rsid w:val="006907FA"/>
    <w:rsid w:val="006929F5"/>
    <w:rsid w:val="00692AE7"/>
    <w:rsid w:val="00693641"/>
    <w:rsid w:val="006939AB"/>
    <w:rsid w:val="00693BB4"/>
    <w:rsid w:val="00693E03"/>
    <w:rsid w:val="00695AB2"/>
    <w:rsid w:val="00696725"/>
    <w:rsid w:val="006A0287"/>
    <w:rsid w:val="006A0D2B"/>
    <w:rsid w:val="006A13BB"/>
    <w:rsid w:val="006A1D68"/>
    <w:rsid w:val="006A212B"/>
    <w:rsid w:val="006A30F2"/>
    <w:rsid w:val="006A3B31"/>
    <w:rsid w:val="006A3DD3"/>
    <w:rsid w:val="006A5749"/>
    <w:rsid w:val="006A5B50"/>
    <w:rsid w:val="006A612D"/>
    <w:rsid w:val="006A61D4"/>
    <w:rsid w:val="006A6ECA"/>
    <w:rsid w:val="006A74A7"/>
    <w:rsid w:val="006A74EE"/>
    <w:rsid w:val="006A76B7"/>
    <w:rsid w:val="006B0357"/>
    <w:rsid w:val="006B2094"/>
    <w:rsid w:val="006B2B86"/>
    <w:rsid w:val="006B3FD7"/>
    <w:rsid w:val="006B40B7"/>
    <w:rsid w:val="006B4453"/>
    <w:rsid w:val="006B4B9B"/>
    <w:rsid w:val="006B4EEA"/>
    <w:rsid w:val="006B5AA3"/>
    <w:rsid w:val="006B5BD8"/>
    <w:rsid w:val="006B74D1"/>
    <w:rsid w:val="006B76B9"/>
    <w:rsid w:val="006B7C48"/>
    <w:rsid w:val="006C0450"/>
    <w:rsid w:val="006C0680"/>
    <w:rsid w:val="006C07ED"/>
    <w:rsid w:val="006C12A8"/>
    <w:rsid w:val="006C1549"/>
    <w:rsid w:val="006C1E78"/>
    <w:rsid w:val="006C3BE1"/>
    <w:rsid w:val="006C4439"/>
    <w:rsid w:val="006C6274"/>
    <w:rsid w:val="006C651A"/>
    <w:rsid w:val="006C6685"/>
    <w:rsid w:val="006C6B40"/>
    <w:rsid w:val="006C7B30"/>
    <w:rsid w:val="006D0954"/>
    <w:rsid w:val="006D1F36"/>
    <w:rsid w:val="006D218E"/>
    <w:rsid w:val="006D23E9"/>
    <w:rsid w:val="006D3A99"/>
    <w:rsid w:val="006D3D20"/>
    <w:rsid w:val="006D41A4"/>
    <w:rsid w:val="006D43FB"/>
    <w:rsid w:val="006D4D8D"/>
    <w:rsid w:val="006D4DCF"/>
    <w:rsid w:val="006D5694"/>
    <w:rsid w:val="006D5770"/>
    <w:rsid w:val="006D581D"/>
    <w:rsid w:val="006D5E5D"/>
    <w:rsid w:val="006D65A1"/>
    <w:rsid w:val="006D67D7"/>
    <w:rsid w:val="006D6FF9"/>
    <w:rsid w:val="006D7414"/>
    <w:rsid w:val="006D7A69"/>
    <w:rsid w:val="006D7D27"/>
    <w:rsid w:val="006D7E0A"/>
    <w:rsid w:val="006E1690"/>
    <w:rsid w:val="006E1E55"/>
    <w:rsid w:val="006E3BBF"/>
    <w:rsid w:val="006E4011"/>
    <w:rsid w:val="006E49AA"/>
    <w:rsid w:val="006E662F"/>
    <w:rsid w:val="006E70CE"/>
    <w:rsid w:val="006F0B2B"/>
    <w:rsid w:val="006F1005"/>
    <w:rsid w:val="006F1B01"/>
    <w:rsid w:val="006F282D"/>
    <w:rsid w:val="006F2E09"/>
    <w:rsid w:val="006F47AC"/>
    <w:rsid w:val="006F49E4"/>
    <w:rsid w:val="006F5277"/>
    <w:rsid w:val="006F788C"/>
    <w:rsid w:val="007001E1"/>
    <w:rsid w:val="00700BD2"/>
    <w:rsid w:val="007011D6"/>
    <w:rsid w:val="00701CC6"/>
    <w:rsid w:val="00702266"/>
    <w:rsid w:val="00704083"/>
    <w:rsid w:val="00704201"/>
    <w:rsid w:val="00704944"/>
    <w:rsid w:val="00704CB6"/>
    <w:rsid w:val="007051C1"/>
    <w:rsid w:val="0070578E"/>
    <w:rsid w:val="00705B8E"/>
    <w:rsid w:val="0070673B"/>
    <w:rsid w:val="00706849"/>
    <w:rsid w:val="00707DBE"/>
    <w:rsid w:val="00710096"/>
    <w:rsid w:val="00710E94"/>
    <w:rsid w:val="007111DC"/>
    <w:rsid w:val="0071165F"/>
    <w:rsid w:val="007118E9"/>
    <w:rsid w:val="007118F1"/>
    <w:rsid w:val="00713869"/>
    <w:rsid w:val="007168B2"/>
    <w:rsid w:val="00716AAF"/>
    <w:rsid w:val="00716B43"/>
    <w:rsid w:val="00716F05"/>
    <w:rsid w:val="00717417"/>
    <w:rsid w:val="00717578"/>
    <w:rsid w:val="00720F30"/>
    <w:rsid w:val="007210B3"/>
    <w:rsid w:val="007214C7"/>
    <w:rsid w:val="00721A9F"/>
    <w:rsid w:val="00722BC8"/>
    <w:rsid w:val="007230DE"/>
    <w:rsid w:val="00723277"/>
    <w:rsid w:val="007237E5"/>
    <w:rsid w:val="00723875"/>
    <w:rsid w:val="00724148"/>
    <w:rsid w:val="0072452A"/>
    <w:rsid w:val="00725D4F"/>
    <w:rsid w:val="00726321"/>
    <w:rsid w:val="00726904"/>
    <w:rsid w:val="00726E8D"/>
    <w:rsid w:val="007275F4"/>
    <w:rsid w:val="0072760E"/>
    <w:rsid w:val="00727C49"/>
    <w:rsid w:val="00727CC5"/>
    <w:rsid w:val="00730988"/>
    <w:rsid w:val="00730F09"/>
    <w:rsid w:val="007311C8"/>
    <w:rsid w:val="007314D1"/>
    <w:rsid w:val="007320A7"/>
    <w:rsid w:val="00732C89"/>
    <w:rsid w:val="00732D9E"/>
    <w:rsid w:val="00732ED4"/>
    <w:rsid w:val="0073313F"/>
    <w:rsid w:val="007335D2"/>
    <w:rsid w:val="00734397"/>
    <w:rsid w:val="007347D7"/>
    <w:rsid w:val="00734D3B"/>
    <w:rsid w:val="00734E70"/>
    <w:rsid w:val="00735411"/>
    <w:rsid w:val="007358FD"/>
    <w:rsid w:val="007372A8"/>
    <w:rsid w:val="00740193"/>
    <w:rsid w:val="00740992"/>
    <w:rsid w:val="00740A36"/>
    <w:rsid w:val="00740C40"/>
    <w:rsid w:val="007416F9"/>
    <w:rsid w:val="00743699"/>
    <w:rsid w:val="00743887"/>
    <w:rsid w:val="00743D25"/>
    <w:rsid w:val="00744749"/>
    <w:rsid w:val="007447AC"/>
    <w:rsid w:val="007456B1"/>
    <w:rsid w:val="00745F26"/>
    <w:rsid w:val="00745F57"/>
    <w:rsid w:val="00746580"/>
    <w:rsid w:val="007465B6"/>
    <w:rsid w:val="007468DF"/>
    <w:rsid w:val="007474EF"/>
    <w:rsid w:val="007502D3"/>
    <w:rsid w:val="007524CB"/>
    <w:rsid w:val="007528F3"/>
    <w:rsid w:val="0075338F"/>
    <w:rsid w:val="007534AD"/>
    <w:rsid w:val="00753716"/>
    <w:rsid w:val="00753CFD"/>
    <w:rsid w:val="0075423F"/>
    <w:rsid w:val="00754AAD"/>
    <w:rsid w:val="00754AF1"/>
    <w:rsid w:val="0075555B"/>
    <w:rsid w:val="00755704"/>
    <w:rsid w:val="0075588F"/>
    <w:rsid w:val="00755C50"/>
    <w:rsid w:val="007563E8"/>
    <w:rsid w:val="0075670D"/>
    <w:rsid w:val="007568CB"/>
    <w:rsid w:val="00756CEE"/>
    <w:rsid w:val="00756DA9"/>
    <w:rsid w:val="00757C07"/>
    <w:rsid w:val="00760693"/>
    <w:rsid w:val="00760CE5"/>
    <w:rsid w:val="007616E4"/>
    <w:rsid w:val="00762489"/>
    <w:rsid w:val="007627CC"/>
    <w:rsid w:val="00762855"/>
    <w:rsid w:val="00763355"/>
    <w:rsid w:val="00763BE8"/>
    <w:rsid w:val="00763E7E"/>
    <w:rsid w:val="00764562"/>
    <w:rsid w:val="007653FB"/>
    <w:rsid w:val="007655D8"/>
    <w:rsid w:val="00765671"/>
    <w:rsid w:val="007657CB"/>
    <w:rsid w:val="00765FCC"/>
    <w:rsid w:val="0076634F"/>
    <w:rsid w:val="00766726"/>
    <w:rsid w:val="00766E7B"/>
    <w:rsid w:val="007672DA"/>
    <w:rsid w:val="007701AF"/>
    <w:rsid w:val="00770554"/>
    <w:rsid w:val="00770831"/>
    <w:rsid w:val="00771521"/>
    <w:rsid w:val="00771669"/>
    <w:rsid w:val="00772558"/>
    <w:rsid w:val="00772C37"/>
    <w:rsid w:val="00772FFE"/>
    <w:rsid w:val="007737C0"/>
    <w:rsid w:val="00773F22"/>
    <w:rsid w:val="00774A2B"/>
    <w:rsid w:val="007750FD"/>
    <w:rsid w:val="00775AC7"/>
    <w:rsid w:val="00775EB6"/>
    <w:rsid w:val="007761B8"/>
    <w:rsid w:val="00776600"/>
    <w:rsid w:val="00776D2D"/>
    <w:rsid w:val="00777996"/>
    <w:rsid w:val="00780005"/>
    <w:rsid w:val="007805AD"/>
    <w:rsid w:val="0078107E"/>
    <w:rsid w:val="00781638"/>
    <w:rsid w:val="00781D58"/>
    <w:rsid w:val="00781E2F"/>
    <w:rsid w:val="0078202A"/>
    <w:rsid w:val="0078234A"/>
    <w:rsid w:val="007825E2"/>
    <w:rsid w:val="00782621"/>
    <w:rsid w:val="007854C1"/>
    <w:rsid w:val="00785A79"/>
    <w:rsid w:val="00787331"/>
    <w:rsid w:val="0078754A"/>
    <w:rsid w:val="00787AF4"/>
    <w:rsid w:val="00790282"/>
    <w:rsid w:val="0079094D"/>
    <w:rsid w:val="007912F5"/>
    <w:rsid w:val="0079239E"/>
    <w:rsid w:val="00792578"/>
    <w:rsid w:val="0079287B"/>
    <w:rsid w:val="00792E62"/>
    <w:rsid w:val="00792F7E"/>
    <w:rsid w:val="0079426C"/>
    <w:rsid w:val="007943E2"/>
    <w:rsid w:val="00794575"/>
    <w:rsid w:val="00796089"/>
    <w:rsid w:val="00796696"/>
    <w:rsid w:val="007A04B1"/>
    <w:rsid w:val="007A0BE6"/>
    <w:rsid w:val="007A13B4"/>
    <w:rsid w:val="007A1657"/>
    <w:rsid w:val="007A16DA"/>
    <w:rsid w:val="007A2C60"/>
    <w:rsid w:val="007A3B97"/>
    <w:rsid w:val="007A6921"/>
    <w:rsid w:val="007A725D"/>
    <w:rsid w:val="007A73C5"/>
    <w:rsid w:val="007A7EAE"/>
    <w:rsid w:val="007B021E"/>
    <w:rsid w:val="007B1384"/>
    <w:rsid w:val="007B15F1"/>
    <w:rsid w:val="007B36B4"/>
    <w:rsid w:val="007B3FC6"/>
    <w:rsid w:val="007B40F0"/>
    <w:rsid w:val="007B50A5"/>
    <w:rsid w:val="007B58D1"/>
    <w:rsid w:val="007B611B"/>
    <w:rsid w:val="007B671A"/>
    <w:rsid w:val="007B67AB"/>
    <w:rsid w:val="007B6949"/>
    <w:rsid w:val="007C038F"/>
    <w:rsid w:val="007C111E"/>
    <w:rsid w:val="007C1816"/>
    <w:rsid w:val="007C1B01"/>
    <w:rsid w:val="007C1C72"/>
    <w:rsid w:val="007C1E92"/>
    <w:rsid w:val="007C2D0F"/>
    <w:rsid w:val="007C3411"/>
    <w:rsid w:val="007C3709"/>
    <w:rsid w:val="007C3803"/>
    <w:rsid w:val="007C4718"/>
    <w:rsid w:val="007C55CB"/>
    <w:rsid w:val="007C5A1A"/>
    <w:rsid w:val="007C65B7"/>
    <w:rsid w:val="007C6B05"/>
    <w:rsid w:val="007C7166"/>
    <w:rsid w:val="007C7FD8"/>
    <w:rsid w:val="007D0737"/>
    <w:rsid w:val="007D0FD6"/>
    <w:rsid w:val="007D1E62"/>
    <w:rsid w:val="007D21E5"/>
    <w:rsid w:val="007D23E0"/>
    <w:rsid w:val="007D2686"/>
    <w:rsid w:val="007D2850"/>
    <w:rsid w:val="007D2F08"/>
    <w:rsid w:val="007D2FB1"/>
    <w:rsid w:val="007D32C3"/>
    <w:rsid w:val="007D34C5"/>
    <w:rsid w:val="007D3B0D"/>
    <w:rsid w:val="007D3B50"/>
    <w:rsid w:val="007D3C0B"/>
    <w:rsid w:val="007D3EF5"/>
    <w:rsid w:val="007D436E"/>
    <w:rsid w:val="007D44EF"/>
    <w:rsid w:val="007D477C"/>
    <w:rsid w:val="007D5479"/>
    <w:rsid w:val="007D604A"/>
    <w:rsid w:val="007D6475"/>
    <w:rsid w:val="007D67AF"/>
    <w:rsid w:val="007D6F33"/>
    <w:rsid w:val="007D6F7A"/>
    <w:rsid w:val="007D71C5"/>
    <w:rsid w:val="007D7CE1"/>
    <w:rsid w:val="007E15F4"/>
    <w:rsid w:val="007E2013"/>
    <w:rsid w:val="007E233F"/>
    <w:rsid w:val="007E4C29"/>
    <w:rsid w:val="007E552B"/>
    <w:rsid w:val="007E6B75"/>
    <w:rsid w:val="007E7CCB"/>
    <w:rsid w:val="007F0AAB"/>
    <w:rsid w:val="007F20B6"/>
    <w:rsid w:val="007F2964"/>
    <w:rsid w:val="007F3DBA"/>
    <w:rsid w:val="007F4327"/>
    <w:rsid w:val="007F461A"/>
    <w:rsid w:val="007F64FE"/>
    <w:rsid w:val="007F6719"/>
    <w:rsid w:val="007F6E57"/>
    <w:rsid w:val="007F7606"/>
    <w:rsid w:val="007F78F3"/>
    <w:rsid w:val="0080002C"/>
    <w:rsid w:val="0080069A"/>
    <w:rsid w:val="008013C6"/>
    <w:rsid w:val="008018DA"/>
    <w:rsid w:val="008034F3"/>
    <w:rsid w:val="00804F9B"/>
    <w:rsid w:val="00805113"/>
    <w:rsid w:val="00805648"/>
    <w:rsid w:val="00805771"/>
    <w:rsid w:val="00805AEE"/>
    <w:rsid w:val="008060E7"/>
    <w:rsid w:val="008066AD"/>
    <w:rsid w:val="00807003"/>
    <w:rsid w:val="00807707"/>
    <w:rsid w:val="008078B7"/>
    <w:rsid w:val="008103C7"/>
    <w:rsid w:val="00810F8D"/>
    <w:rsid w:val="00811962"/>
    <w:rsid w:val="00811ED3"/>
    <w:rsid w:val="008132FF"/>
    <w:rsid w:val="00813D57"/>
    <w:rsid w:val="00814A96"/>
    <w:rsid w:val="00816254"/>
    <w:rsid w:val="00816614"/>
    <w:rsid w:val="0081676D"/>
    <w:rsid w:val="0081732A"/>
    <w:rsid w:val="008174D1"/>
    <w:rsid w:val="0081769A"/>
    <w:rsid w:val="008176D0"/>
    <w:rsid w:val="0081787B"/>
    <w:rsid w:val="00817AFF"/>
    <w:rsid w:val="00817E9B"/>
    <w:rsid w:val="008200BD"/>
    <w:rsid w:val="00820F49"/>
    <w:rsid w:val="00821397"/>
    <w:rsid w:val="0082234C"/>
    <w:rsid w:val="008238C9"/>
    <w:rsid w:val="00823E92"/>
    <w:rsid w:val="00824999"/>
    <w:rsid w:val="00824CEE"/>
    <w:rsid w:val="008250C0"/>
    <w:rsid w:val="0082757D"/>
    <w:rsid w:val="008305DA"/>
    <w:rsid w:val="00831C78"/>
    <w:rsid w:val="00832001"/>
    <w:rsid w:val="00832D7B"/>
    <w:rsid w:val="0083368F"/>
    <w:rsid w:val="0083389E"/>
    <w:rsid w:val="00833EEA"/>
    <w:rsid w:val="008346A5"/>
    <w:rsid w:val="008348E8"/>
    <w:rsid w:val="00835479"/>
    <w:rsid w:val="008368AD"/>
    <w:rsid w:val="00836C69"/>
    <w:rsid w:val="00837057"/>
    <w:rsid w:val="008371FD"/>
    <w:rsid w:val="00837D2A"/>
    <w:rsid w:val="00841948"/>
    <w:rsid w:val="00841DF5"/>
    <w:rsid w:val="00841F67"/>
    <w:rsid w:val="008425C2"/>
    <w:rsid w:val="00843A15"/>
    <w:rsid w:val="00843D8B"/>
    <w:rsid w:val="00844301"/>
    <w:rsid w:val="00844709"/>
    <w:rsid w:val="00844CC0"/>
    <w:rsid w:val="008469BF"/>
    <w:rsid w:val="008479EE"/>
    <w:rsid w:val="00847FBA"/>
    <w:rsid w:val="008504E1"/>
    <w:rsid w:val="00850FBF"/>
    <w:rsid w:val="008516FC"/>
    <w:rsid w:val="00851D4B"/>
    <w:rsid w:val="00852049"/>
    <w:rsid w:val="00852562"/>
    <w:rsid w:val="00852945"/>
    <w:rsid w:val="00853886"/>
    <w:rsid w:val="00853E4A"/>
    <w:rsid w:val="0085417A"/>
    <w:rsid w:val="0085431D"/>
    <w:rsid w:val="00854891"/>
    <w:rsid w:val="00855311"/>
    <w:rsid w:val="00855552"/>
    <w:rsid w:val="0085597C"/>
    <w:rsid w:val="00855D90"/>
    <w:rsid w:val="00855E3E"/>
    <w:rsid w:val="00855E4E"/>
    <w:rsid w:val="00856391"/>
    <w:rsid w:val="008565A0"/>
    <w:rsid w:val="008565CF"/>
    <w:rsid w:val="00856BBF"/>
    <w:rsid w:val="00857766"/>
    <w:rsid w:val="00857924"/>
    <w:rsid w:val="00860134"/>
    <w:rsid w:val="008601A4"/>
    <w:rsid w:val="0086024F"/>
    <w:rsid w:val="008602C2"/>
    <w:rsid w:val="00860549"/>
    <w:rsid w:val="00860F4B"/>
    <w:rsid w:val="0086187E"/>
    <w:rsid w:val="00861887"/>
    <w:rsid w:val="008619F8"/>
    <w:rsid w:val="00861AA3"/>
    <w:rsid w:val="00861B7B"/>
    <w:rsid w:val="0086210C"/>
    <w:rsid w:val="008624FA"/>
    <w:rsid w:val="00863003"/>
    <w:rsid w:val="0086308B"/>
    <w:rsid w:val="0086374B"/>
    <w:rsid w:val="00863E41"/>
    <w:rsid w:val="00864ECF"/>
    <w:rsid w:val="00865073"/>
    <w:rsid w:val="00865A3B"/>
    <w:rsid w:val="00865DED"/>
    <w:rsid w:val="008661EA"/>
    <w:rsid w:val="0086646F"/>
    <w:rsid w:val="00866608"/>
    <w:rsid w:val="008672FF"/>
    <w:rsid w:val="0086736B"/>
    <w:rsid w:val="008679CF"/>
    <w:rsid w:val="00870029"/>
    <w:rsid w:val="00870621"/>
    <w:rsid w:val="008708B1"/>
    <w:rsid w:val="008712B7"/>
    <w:rsid w:val="008729DF"/>
    <w:rsid w:val="00872D5F"/>
    <w:rsid w:val="00873AED"/>
    <w:rsid w:val="00873CDC"/>
    <w:rsid w:val="00874791"/>
    <w:rsid w:val="008747F7"/>
    <w:rsid w:val="008749AF"/>
    <w:rsid w:val="00874BD5"/>
    <w:rsid w:val="00875795"/>
    <w:rsid w:val="00875948"/>
    <w:rsid w:val="00875C22"/>
    <w:rsid w:val="00875EB5"/>
    <w:rsid w:val="00876CD1"/>
    <w:rsid w:val="008774AB"/>
    <w:rsid w:val="00877666"/>
    <w:rsid w:val="00877FED"/>
    <w:rsid w:val="008805E3"/>
    <w:rsid w:val="00880857"/>
    <w:rsid w:val="0088111D"/>
    <w:rsid w:val="00881C34"/>
    <w:rsid w:val="00882812"/>
    <w:rsid w:val="00882885"/>
    <w:rsid w:val="00882A54"/>
    <w:rsid w:val="00882DBF"/>
    <w:rsid w:val="00882F3C"/>
    <w:rsid w:val="008833F8"/>
    <w:rsid w:val="00883451"/>
    <w:rsid w:val="00883A7B"/>
    <w:rsid w:val="00884314"/>
    <w:rsid w:val="008843FC"/>
    <w:rsid w:val="0088440E"/>
    <w:rsid w:val="00886000"/>
    <w:rsid w:val="00886270"/>
    <w:rsid w:val="0088694A"/>
    <w:rsid w:val="00886F36"/>
    <w:rsid w:val="00887C64"/>
    <w:rsid w:val="00890E14"/>
    <w:rsid w:val="00890F2B"/>
    <w:rsid w:val="00891897"/>
    <w:rsid w:val="00891FDD"/>
    <w:rsid w:val="00892C5C"/>
    <w:rsid w:val="00893566"/>
    <w:rsid w:val="00893AC4"/>
    <w:rsid w:val="00894356"/>
    <w:rsid w:val="0089465B"/>
    <w:rsid w:val="00894B64"/>
    <w:rsid w:val="00894B6E"/>
    <w:rsid w:val="00894D6C"/>
    <w:rsid w:val="00895352"/>
    <w:rsid w:val="0089544A"/>
    <w:rsid w:val="0089568A"/>
    <w:rsid w:val="00896244"/>
    <w:rsid w:val="0089680F"/>
    <w:rsid w:val="0089717F"/>
    <w:rsid w:val="008974E7"/>
    <w:rsid w:val="008A16A3"/>
    <w:rsid w:val="008A1B5A"/>
    <w:rsid w:val="008A1EA4"/>
    <w:rsid w:val="008A25D1"/>
    <w:rsid w:val="008A2668"/>
    <w:rsid w:val="008A2958"/>
    <w:rsid w:val="008A2F51"/>
    <w:rsid w:val="008A30FE"/>
    <w:rsid w:val="008A4B5B"/>
    <w:rsid w:val="008A551C"/>
    <w:rsid w:val="008A558D"/>
    <w:rsid w:val="008A5E52"/>
    <w:rsid w:val="008A5EAC"/>
    <w:rsid w:val="008A62F8"/>
    <w:rsid w:val="008A639B"/>
    <w:rsid w:val="008A6FB5"/>
    <w:rsid w:val="008A74B3"/>
    <w:rsid w:val="008A773D"/>
    <w:rsid w:val="008B0C8E"/>
    <w:rsid w:val="008B1D61"/>
    <w:rsid w:val="008B2DCC"/>
    <w:rsid w:val="008B3E6A"/>
    <w:rsid w:val="008B3F28"/>
    <w:rsid w:val="008B3FEF"/>
    <w:rsid w:val="008B42A6"/>
    <w:rsid w:val="008B43B4"/>
    <w:rsid w:val="008B43F9"/>
    <w:rsid w:val="008B53B7"/>
    <w:rsid w:val="008B54D3"/>
    <w:rsid w:val="008B5CF2"/>
    <w:rsid w:val="008B5F96"/>
    <w:rsid w:val="008B601E"/>
    <w:rsid w:val="008B7256"/>
    <w:rsid w:val="008B72F3"/>
    <w:rsid w:val="008B77BD"/>
    <w:rsid w:val="008B7EC5"/>
    <w:rsid w:val="008C01FD"/>
    <w:rsid w:val="008C04F3"/>
    <w:rsid w:val="008C0BB2"/>
    <w:rsid w:val="008C121C"/>
    <w:rsid w:val="008C1BE0"/>
    <w:rsid w:val="008C2561"/>
    <w:rsid w:val="008C4843"/>
    <w:rsid w:val="008C4DE7"/>
    <w:rsid w:val="008C54F4"/>
    <w:rsid w:val="008C5774"/>
    <w:rsid w:val="008C5D06"/>
    <w:rsid w:val="008C5F26"/>
    <w:rsid w:val="008C62C9"/>
    <w:rsid w:val="008C6556"/>
    <w:rsid w:val="008C674A"/>
    <w:rsid w:val="008C6914"/>
    <w:rsid w:val="008C6BDE"/>
    <w:rsid w:val="008C7279"/>
    <w:rsid w:val="008C7707"/>
    <w:rsid w:val="008C7D2A"/>
    <w:rsid w:val="008C7F7B"/>
    <w:rsid w:val="008D0302"/>
    <w:rsid w:val="008D0343"/>
    <w:rsid w:val="008D07EA"/>
    <w:rsid w:val="008D0990"/>
    <w:rsid w:val="008D0C18"/>
    <w:rsid w:val="008D1AE6"/>
    <w:rsid w:val="008D1EA3"/>
    <w:rsid w:val="008D213B"/>
    <w:rsid w:val="008D2239"/>
    <w:rsid w:val="008D230C"/>
    <w:rsid w:val="008D2328"/>
    <w:rsid w:val="008D347F"/>
    <w:rsid w:val="008D4229"/>
    <w:rsid w:val="008D48FF"/>
    <w:rsid w:val="008D4AE0"/>
    <w:rsid w:val="008D5944"/>
    <w:rsid w:val="008D616A"/>
    <w:rsid w:val="008D7987"/>
    <w:rsid w:val="008E16DF"/>
    <w:rsid w:val="008E1871"/>
    <w:rsid w:val="008E19D2"/>
    <w:rsid w:val="008E19EB"/>
    <w:rsid w:val="008E28DF"/>
    <w:rsid w:val="008E3891"/>
    <w:rsid w:val="008E4D44"/>
    <w:rsid w:val="008E50A3"/>
    <w:rsid w:val="008E518D"/>
    <w:rsid w:val="008E611E"/>
    <w:rsid w:val="008E70DB"/>
    <w:rsid w:val="008E7370"/>
    <w:rsid w:val="008E7901"/>
    <w:rsid w:val="008E7EE7"/>
    <w:rsid w:val="008E7F84"/>
    <w:rsid w:val="008F177C"/>
    <w:rsid w:val="008F1B23"/>
    <w:rsid w:val="008F2AFD"/>
    <w:rsid w:val="008F2D40"/>
    <w:rsid w:val="008F4CBC"/>
    <w:rsid w:val="008F515B"/>
    <w:rsid w:val="008F54A5"/>
    <w:rsid w:val="008F55F7"/>
    <w:rsid w:val="008F671C"/>
    <w:rsid w:val="008F6D94"/>
    <w:rsid w:val="008F7326"/>
    <w:rsid w:val="008F7871"/>
    <w:rsid w:val="0090020B"/>
    <w:rsid w:val="00900837"/>
    <w:rsid w:val="009009A3"/>
    <w:rsid w:val="00900A45"/>
    <w:rsid w:val="00900BC5"/>
    <w:rsid w:val="00900FCB"/>
    <w:rsid w:val="00902979"/>
    <w:rsid w:val="0090325E"/>
    <w:rsid w:val="00903E57"/>
    <w:rsid w:val="00904104"/>
    <w:rsid w:val="009054D4"/>
    <w:rsid w:val="00905751"/>
    <w:rsid w:val="00905C59"/>
    <w:rsid w:val="009060F4"/>
    <w:rsid w:val="0090650A"/>
    <w:rsid w:val="009066D9"/>
    <w:rsid w:val="00906748"/>
    <w:rsid w:val="00906F51"/>
    <w:rsid w:val="009070B3"/>
    <w:rsid w:val="00907404"/>
    <w:rsid w:val="00907449"/>
    <w:rsid w:val="00907495"/>
    <w:rsid w:val="0090776C"/>
    <w:rsid w:val="00907BB7"/>
    <w:rsid w:val="0091075F"/>
    <w:rsid w:val="00910BAB"/>
    <w:rsid w:val="00910D8E"/>
    <w:rsid w:val="0091104A"/>
    <w:rsid w:val="00911223"/>
    <w:rsid w:val="009112F1"/>
    <w:rsid w:val="00912204"/>
    <w:rsid w:val="00912865"/>
    <w:rsid w:val="00912B6A"/>
    <w:rsid w:val="00912F4C"/>
    <w:rsid w:val="009134FE"/>
    <w:rsid w:val="00913CFC"/>
    <w:rsid w:val="00913FE3"/>
    <w:rsid w:val="00914084"/>
    <w:rsid w:val="009147D8"/>
    <w:rsid w:val="00914A36"/>
    <w:rsid w:val="009150E5"/>
    <w:rsid w:val="00915618"/>
    <w:rsid w:val="00915847"/>
    <w:rsid w:val="00915D81"/>
    <w:rsid w:val="00916F8A"/>
    <w:rsid w:val="00917647"/>
    <w:rsid w:val="00920121"/>
    <w:rsid w:val="009206FD"/>
    <w:rsid w:val="0092095E"/>
    <w:rsid w:val="00920A7C"/>
    <w:rsid w:val="00920B77"/>
    <w:rsid w:val="00920EF7"/>
    <w:rsid w:val="009210BC"/>
    <w:rsid w:val="0092178B"/>
    <w:rsid w:val="00921B1E"/>
    <w:rsid w:val="009223C4"/>
    <w:rsid w:val="00923CD7"/>
    <w:rsid w:val="00923E9E"/>
    <w:rsid w:val="0092511C"/>
    <w:rsid w:val="00925AF2"/>
    <w:rsid w:val="00925E18"/>
    <w:rsid w:val="009261F8"/>
    <w:rsid w:val="0092662E"/>
    <w:rsid w:val="00927B3B"/>
    <w:rsid w:val="00930205"/>
    <w:rsid w:val="00930834"/>
    <w:rsid w:val="009310E2"/>
    <w:rsid w:val="009315EA"/>
    <w:rsid w:val="00931B77"/>
    <w:rsid w:val="00931C41"/>
    <w:rsid w:val="00932001"/>
    <w:rsid w:val="009321B8"/>
    <w:rsid w:val="009330C1"/>
    <w:rsid w:val="00933343"/>
    <w:rsid w:val="009349B8"/>
    <w:rsid w:val="00934CB0"/>
    <w:rsid w:val="00935A76"/>
    <w:rsid w:val="00935E87"/>
    <w:rsid w:val="00935E99"/>
    <w:rsid w:val="0093679D"/>
    <w:rsid w:val="009375EC"/>
    <w:rsid w:val="00940A79"/>
    <w:rsid w:val="009410EA"/>
    <w:rsid w:val="009411CD"/>
    <w:rsid w:val="0094122B"/>
    <w:rsid w:val="0094136E"/>
    <w:rsid w:val="00941C05"/>
    <w:rsid w:val="00941CBF"/>
    <w:rsid w:val="00942824"/>
    <w:rsid w:val="00943B58"/>
    <w:rsid w:val="00944240"/>
    <w:rsid w:val="0094450E"/>
    <w:rsid w:val="00945840"/>
    <w:rsid w:val="00945AA8"/>
    <w:rsid w:val="00946065"/>
    <w:rsid w:val="00946425"/>
    <w:rsid w:val="00947055"/>
    <w:rsid w:val="0094759F"/>
    <w:rsid w:val="00947A7B"/>
    <w:rsid w:val="00947C4E"/>
    <w:rsid w:val="009514BD"/>
    <w:rsid w:val="00951561"/>
    <w:rsid w:val="00951D5A"/>
    <w:rsid w:val="00951E53"/>
    <w:rsid w:val="00951F20"/>
    <w:rsid w:val="00952C75"/>
    <w:rsid w:val="00953AD1"/>
    <w:rsid w:val="00955491"/>
    <w:rsid w:val="009554B8"/>
    <w:rsid w:val="00955607"/>
    <w:rsid w:val="0095600C"/>
    <w:rsid w:val="00957956"/>
    <w:rsid w:val="0096041A"/>
    <w:rsid w:val="009604A0"/>
    <w:rsid w:val="00960541"/>
    <w:rsid w:val="00960DFD"/>
    <w:rsid w:val="00962270"/>
    <w:rsid w:val="009627A1"/>
    <w:rsid w:val="0096299F"/>
    <w:rsid w:val="009637B4"/>
    <w:rsid w:val="00963F39"/>
    <w:rsid w:val="00964239"/>
    <w:rsid w:val="009645E0"/>
    <w:rsid w:val="00964DFF"/>
    <w:rsid w:val="00964E18"/>
    <w:rsid w:val="0096521A"/>
    <w:rsid w:val="009652FB"/>
    <w:rsid w:val="00965CD9"/>
    <w:rsid w:val="00965ECD"/>
    <w:rsid w:val="00965F59"/>
    <w:rsid w:val="009662B5"/>
    <w:rsid w:val="009664B6"/>
    <w:rsid w:val="009670D7"/>
    <w:rsid w:val="0096772A"/>
    <w:rsid w:val="00967C76"/>
    <w:rsid w:val="00970C70"/>
    <w:rsid w:val="00971066"/>
    <w:rsid w:val="00971206"/>
    <w:rsid w:val="00971A6D"/>
    <w:rsid w:val="00971B8D"/>
    <w:rsid w:val="00971C2F"/>
    <w:rsid w:val="00971D56"/>
    <w:rsid w:val="009729C8"/>
    <w:rsid w:val="009734F5"/>
    <w:rsid w:val="009735EB"/>
    <w:rsid w:val="009741A4"/>
    <w:rsid w:val="0097423E"/>
    <w:rsid w:val="0097438E"/>
    <w:rsid w:val="00974428"/>
    <w:rsid w:val="00974456"/>
    <w:rsid w:val="00974893"/>
    <w:rsid w:val="00975696"/>
    <w:rsid w:val="00976042"/>
    <w:rsid w:val="00977503"/>
    <w:rsid w:val="00977772"/>
    <w:rsid w:val="00977830"/>
    <w:rsid w:val="0098054E"/>
    <w:rsid w:val="009807EB"/>
    <w:rsid w:val="00980A5C"/>
    <w:rsid w:val="00981178"/>
    <w:rsid w:val="00981490"/>
    <w:rsid w:val="009816B4"/>
    <w:rsid w:val="00982717"/>
    <w:rsid w:val="0098299F"/>
    <w:rsid w:val="009833DA"/>
    <w:rsid w:val="00983C89"/>
    <w:rsid w:val="00984AC0"/>
    <w:rsid w:val="009851CA"/>
    <w:rsid w:val="00985718"/>
    <w:rsid w:val="00986263"/>
    <w:rsid w:val="009868B2"/>
    <w:rsid w:val="00986A3E"/>
    <w:rsid w:val="00986C9E"/>
    <w:rsid w:val="0098713B"/>
    <w:rsid w:val="00987C94"/>
    <w:rsid w:val="00990552"/>
    <w:rsid w:val="00990ECC"/>
    <w:rsid w:val="00991883"/>
    <w:rsid w:val="00991FC6"/>
    <w:rsid w:val="00992044"/>
    <w:rsid w:val="00992BBD"/>
    <w:rsid w:val="00992E21"/>
    <w:rsid w:val="0099304A"/>
    <w:rsid w:val="0099307F"/>
    <w:rsid w:val="009934D4"/>
    <w:rsid w:val="009935D7"/>
    <w:rsid w:val="009936DF"/>
    <w:rsid w:val="0099429C"/>
    <w:rsid w:val="0099568F"/>
    <w:rsid w:val="009957D4"/>
    <w:rsid w:val="00995E4D"/>
    <w:rsid w:val="00996383"/>
    <w:rsid w:val="0099725D"/>
    <w:rsid w:val="00997306"/>
    <w:rsid w:val="0099769C"/>
    <w:rsid w:val="00997876"/>
    <w:rsid w:val="00997D32"/>
    <w:rsid w:val="009A02D0"/>
    <w:rsid w:val="009A0DC4"/>
    <w:rsid w:val="009A26A1"/>
    <w:rsid w:val="009A3326"/>
    <w:rsid w:val="009A3ADF"/>
    <w:rsid w:val="009A5187"/>
    <w:rsid w:val="009A549B"/>
    <w:rsid w:val="009A5A4B"/>
    <w:rsid w:val="009A6555"/>
    <w:rsid w:val="009A6675"/>
    <w:rsid w:val="009A6F93"/>
    <w:rsid w:val="009A7616"/>
    <w:rsid w:val="009A7A0A"/>
    <w:rsid w:val="009B0822"/>
    <w:rsid w:val="009B1243"/>
    <w:rsid w:val="009B1844"/>
    <w:rsid w:val="009B2914"/>
    <w:rsid w:val="009B29E4"/>
    <w:rsid w:val="009B3559"/>
    <w:rsid w:val="009B375B"/>
    <w:rsid w:val="009B3EA9"/>
    <w:rsid w:val="009B4695"/>
    <w:rsid w:val="009B4BAE"/>
    <w:rsid w:val="009B52CD"/>
    <w:rsid w:val="009B68C1"/>
    <w:rsid w:val="009B68CA"/>
    <w:rsid w:val="009B7A57"/>
    <w:rsid w:val="009C0775"/>
    <w:rsid w:val="009C0DB1"/>
    <w:rsid w:val="009C1791"/>
    <w:rsid w:val="009C17DF"/>
    <w:rsid w:val="009C1C36"/>
    <w:rsid w:val="009C2412"/>
    <w:rsid w:val="009C2DF6"/>
    <w:rsid w:val="009C3278"/>
    <w:rsid w:val="009C3339"/>
    <w:rsid w:val="009C33D0"/>
    <w:rsid w:val="009C3BD1"/>
    <w:rsid w:val="009C3C19"/>
    <w:rsid w:val="009C4AB0"/>
    <w:rsid w:val="009C4AF3"/>
    <w:rsid w:val="009C5A2E"/>
    <w:rsid w:val="009C6079"/>
    <w:rsid w:val="009C63A3"/>
    <w:rsid w:val="009C66A4"/>
    <w:rsid w:val="009C687A"/>
    <w:rsid w:val="009C6AD0"/>
    <w:rsid w:val="009C7479"/>
    <w:rsid w:val="009C7D90"/>
    <w:rsid w:val="009D0271"/>
    <w:rsid w:val="009D1744"/>
    <w:rsid w:val="009D222B"/>
    <w:rsid w:val="009D2A14"/>
    <w:rsid w:val="009D2C31"/>
    <w:rsid w:val="009D2CBC"/>
    <w:rsid w:val="009D3095"/>
    <w:rsid w:val="009D333A"/>
    <w:rsid w:val="009D36A2"/>
    <w:rsid w:val="009D3D51"/>
    <w:rsid w:val="009D4018"/>
    <w:rsid w:val="009D54BF"/>
    <w:rsid w:val="009D5643"/>
    <w:rsid w:val="009D67EE"/>
    <w:rsid w:val="009D6851"/>
    <w:rsid w:val="009D6D03"/>
    <w:rsid w:val="009D7353"/>
    <w:rsid w:val="009D7F02"/>
    <w:rsid w:val="009D7F96"/>
    <w:rsid w:val="009E065E"/>
    <w:rsid w:val="009E1A11"/>
    <w:rsid w:val="009E1BE6"/>
    <w:rsid w:val="009E28C1"/>
    <w:rsid w:val="009E2A6D"/>
    <w:rsid w:val="009E32A2"/>
    <w:rsid w:val="009E385B"/>
    <w:rsid w:val="009E3B4C"/>
    <w:rsid w:val="009E4886"/>
    <w:rsid w:val="009E50A0"/>
    <w:rsid w:val="009E520B"/>
    <w:rsid w:val="009E5753"/>
    <w:rsid w:val="009E6C32"/>
    <w:rsid w:val="009E6C74"/>
    <w:rsid w:val="009E6D67"/>
    <w:rsid w:val="009E7261"/>
    <w:rsid w:val="009E7457"/>
    <w:rsid w:val="009F1EBA"/>
    <w:rsid w:val="009F2356"/>
    <w:rsid w:val="009F25D3"/>
    <w:rsid w:val="009F2B70"/>
    <w:rsid w:val="009F348E"/>
    <w:rsid w:val="009F3693"/>
    <w:rsid w:val="009F5340"/>
    <w:rsid w:val="009F568E"/>
    <w:rsid w:val="009F595E"/>
    <w:rsid w:val="009F5DC6"/>
    <w:rsid w:val="009F62C2"/>
    <w:rsid w:val="009F6C58"/>
    <w:rsid w:val="009F6E6D"/>
    <w:rsid w:val="009F7E8F"/>
    <w:rsid w:val="00A00E71"/>
    <w:rsid w:val="00A01A1B"/>
    <w:rsid w:val="00A02666"/>
    <w:rsid w:val="00A0350B"/>
    <w:rsid w:val="00A03A31"/>
    <w:rsid w:val="00A040E5"/>
    <w:rsid w:val="00A0466A"/>
    <w:rsid w:val="00A048F5"/>
    <w:rsid w:val="00A04998"/>
    <w:rsid w:val="00A05FAF"/>
    <w:rsid w:val="00A061D0"/>
    <w:rsid w:val="00A064D6"/>
    <w:rsid w:val="00A06591"/>
    <w:rsid w:val="00A06997"/>
    <w:rsid w:val="00A07167"/>
    <w:rsid w:val="00A07449"/>
    <w:rsid w:val="00A07F61"/>
    <w:rsid w:val="00A105AC"/>
    <w:rsid w:val="00A10FAA"/>
    <w:rsid w:val="00A11652"/>
    <w:rsid w:val="00A1185B"/>
    <w:rsid w:val="00A11EA5"/>
    <w:rsid w:val="00A12AF3"/>
    <w:rsid w:val="00A138DC"/>
    <w:rsid w:val="00A13DFD"/>
    <w:rsid w:val="00A14EC7"/>
    <w:rsid w:val="00A15878"/>
    <w:rsid w:val="00A15A08"/>
    <w:rsid w:val="00A16478"/>
    <w:rsid w:val="00A16C07"/>
    <w:rsid w:val="00A16F0B"/>
    <w:rsid w:val="00A171DE"/>
    <w:rsid w:val="00A20204"/>
    <w:rsid w:val="00A2268B"/>
    <w:rsid w:val="00A239FA"/>
    <w:rsid w:val="00A23D77"/>
    <w:rsid w:val="00A244ED"/>
    <w:rsid w:val="00A24A3C"/>
    <w:rsid w:val="00A24C36"/>
    <w:rsid w:val="00A257F4"/>
    <w:rsid w:val="00A25D1F"/>
    <w:rsid w:val="00A25DC0"/>
    <w:rsid w:val="00A25F50"/>
    <w:rsid w:val="00A26328"/>
    <w:rsid w:val="00A264AF"/>
    <w:rsid w:val="00A26EE0"/>
    <w:rsid w:val="00A2706C"/>
    <w:rsid w:val="00A27338"/>
    <w:rsid w:val="00A2744F"/>
    <w:rsid w:val="00A27608"/>
    <w:rsid w:val="00A306E1"/>
    <w:rsid w:val="00A30926"/>
    <w:rsid w:val="00A30CBD"/>
    <w:rsid w:val="00A30DCB"/>
    <w:rsid w:val="00A31342"/>
    <w:rsid w:val="00A31930"/>
    <w:rsid w:val="00A3302B"/>
    <w:rsid w:val="00A33824"/>
    <w:rsid w:val="00A34629"/>
    <w:rsid w:val="00A346F9"/>
    <w:rsid w:val="00A348D0"/>
    <w:rsid w:val="00A355F0"/>
    <w:rsid w:val="00A367F8"/>
    <w:rsid w:val="00A3710F"/>
    <w:rsid w:val="00A376EA"/>
    <w:rsid w:val="00A3785A"/>
    <w:rsid w:val="00A379B6"/>
    <w:rsid w:val="00A40869"/>
    <w:rsid w:val="00A415A7"/>
    <w:rsid w:val="00A4176B"/>
    <w:rsid w:val="00A41814"/>
    <w:rsid w:val="00A42A3A"/>
    <w:rsid w:val="00A44240"/>
    <w:rsid w:val="00A44728"/>
    <w:rsid w:val="00A44C28"/>
    <w:rsid w:val="00A4581B"/>
    <w:rsid w:val="00A45ABB"/>
    <w:rsid w:val="00A46818"/>
    <w:rsid w:val="00A47440"/>
    <w:rsid w:val="00A47FF5"/>
    <w:rsid w:val="00A50EA1"/>
    <w:rsid w:val="00A50EF6"/>
    <w:rsid w:val="00A5164C"/>
    <w:rsid w:val="00A51675"/>
    <w:rsid w:val="00A51702"/>
    <w:rsid w:val="00A5172C"/>
    <w:rsid w:val="00A51F76"/>
    <w:rsid w:val="00A5299C"/>
    <w:rsid w:val="00A52E62"/>
    <w:rsid w:val="00A5372C"/>
    <w:rsid w:val="00A53A6E"/>
    <w:rsid w:val="00A545F2"/>
    <w:rsid w:val="00A54950"/>
    <w:rsid w:val="00A55C13"/>
    <w:rsid w:val="00A5649A"/>
    <w:rsid w:val="00A56CD5"/>
    <w:rsid w:val="00A571A3"/>
    <w:rsid w:val="00A57A09"/>
    <w:rsid w:val="00A57F2F"/>
    <w:rsid w:val="00A600B9"/>
    <w:rsid w:val="00A60394"/>
    <w:rsid w:val="00A60D75"/>
    <w:rsid w:val="00A6182F"/>
    <w:rsid w:val="00A61981"/>
    <w:rsid w:val="00A61FCE"/>
    <w:rsid w:val="00A622E2"/>
    <w:rsid w:val="00A63904"/>
    <w:rsid w:val="00A63C5E"/>
    <w:rsid w:val="00A64731"/>
    <w:rsid w:val="00A651BE"/>
    <w:rsid w:val="00A65572"/>
    <w:rsid w:val="00A6588E"/>
    <w:rsid w:val="00A66299"/>
    <w:rsid w:val="00A6667B"/>
    <w:rsid w:val="00A66E43"/>
    <w:rsid w:val="00A66F54"/>
    <w:rsid w:val="00A67B02"/>
    <w:rsid w:val="00A67D78"/>
    <w:rsid w:val="00A70E89"/>
    <w:rsid w:val="00A70F72"/>
    <w:rsid w:val="00A711B3"/>
    <w:rsid w:val="00A715A7"/>
    <w:rsid w:val="00A733B1"/>
    <w:rsid w:val="00A74926"/>
    <w:rsid w:val="00A750BC"/>
    <w:rsid w:val="00A7525B"/>
    <w:rsid w:val="00A763E0"/>
    <w:rsid w:val="00A773AE"/>
    <w:rsid w:val="00A77E04"/>
    <w:rsid w:val="00A80555"/>
    <w:rsid w:val="00A80757"/>
    <w:rsid w:val="00A8094E"/>
    <w:rsid w:val="00A809B4"/>
    <w:rsid w:val="00A80C36"/>
    <w:rsid w:val="00A80F9B"/>
    <w:rsid w:val="00A8116A"/>
    <w:rsid w:val="00A821AD"/>
    <w:rsid w:val="00A82516"/>
    <w:rsid w:val="00A8285A"/>
    <w:rsid w:val="00A83450"/>
    <w:rsid w:val="00A83591"/>
    <w:rsid w:val="00A83AC7"/>
    <w:rsid w:val="00A83D00"/>
    <w:rsid w:val="00A84D50"/>
    <w:rsid w:val="00A856F7"/>
    <w:rsid w:val="00A86593"/>
    <w:rsid w:val="00A86AD0"/>
    <w:rsid w:val="00A86CAF"/>
    <w:rsid w:val="00A87059"/>
    <w:rsid w:val="00A876B9"/>
    <w:rsid w:val="00A87E4B"/>
    <w:rsid w:val="00A87E96"/>
    <w:rsid w:val="00A90C13"/>
    <w:rsid w:val="00A919EC"/>
    <w:rsid w:val="00A91BC1"/>
    <w:rsid w:val="00A92470"/>
    <w:rsid w:val="00A92740"/>
    <w:rsid w:val="00A9291B"/>
    <w:rsid w:val="00A93013"/>
    <w:rsid w:val="00A9379F"/>
    <w:rsid w:val="00A946CB"/>
    <w:rsid w:val="00A94893"/>
    <w:rsid w:val="00A94FCF"/>
    <w:rsid w:val="00A967DF"/>
    <w:rsid w:val="00A96A0A"/>
    <w:rsid w:val="00A96AE9"/>
    <w:rsid w:val="00A97258"/>
    <w:rsid w:val="00A97EF1"/>
    <w:rsid w:val="00AA093D"/>
    <w:rsid w:val="00AA1519"/>
    <w:rsid w:val="00AA15F3"/>
    <w:rsid w:val="00AA1D1C"/>
    <w:rsid w:val="00AA1D3C"/>
    <w:rsid w:val="00AA21BF"/>
    <w:rsid w:val="00AA2E1E"/>
    <w:rsid w:val="00AA338E"/>
    <w:rsid w:val="00AA44DE"/>
    <w:rsid w:val="00AA4864"/>
    <w:rsid w:val="00AA511D"/>
    <w:rsid w:val="00AA5E32"/>
    <w:rsid w:val="00AA60F6"/>
    <w:rsid w:val="00AA6136"/>
    <w:rsid w:val="00AA6F33"/>
    <w:rsid w:val="00AA75F8"/>
    <w:rsid w:val="00AA7D41"/>
    <w:rsid w:val="00AB0506"/>
    <w:rsid w:val="00AB0BE8"/>
    <w:rsid w:val="00AB0C08"/>
    <w:rsid w:val="00AB0CFD"/>
    <w:rsid w:val="00AB1B42"/>
    <w:rsid w:val="00AB2FEC"/>
    <w:rsid w:val="00AB38AA"/>
    <w:rsid w:val="00AB3CDC"/>
    <w:rsid w:val="00AB3D6E"/>
    <w:rsid w:val="00AB3FDF"/>
    <w:rsid w:val="00AB3FE0"/>
    <w:rsid w:val="00AB418E"/>
    <w:rsid w:val="00AB4BC8"/>
    <w:rsid w:val="00AB5ACA"/>
    <w:rsid w:val="00AB5FB3"/>
    <w:rsid w:val="00AB640B"/>
    <w:rsid w:val="00AB69E9"/>
    <w:rsid w:val="00AB7532"/>
    <w:rsid w:val="00AC0A57"/>
    <w:rsid w:val="00AC0D44"/>
    <w:rsid w:val="00AC1494"/>
    <w:rsid w:val="00AC1C8C"/>
    <w:rsid w:val="00AC1F78"/>
    <w:rsid w:val="00AC2146"/>
    <w:rsid w:val="00AC46D0"/>
    <w:rsid w:val="00AC53AA"/>
    <w:rsid w:val="00AC5864"/>
    <w:rsid w:val="00AC5E72"/>
    <w:rsid w:val="00AC66D3"/>
    <w:rsid w:val="00AC6BA7"/>
    <w:rsid w:val="00AC7959"/>
    <w:rsid w:val="00AC7C7A"/>
    <w:rsid w:val="00AD03F1"/>
    <w:rsid w:val="00AD05A9"/>
    <w:rsid w:val="00AD0B1D"/>
    <w:rsid w:val="00AD1207"/>
    <w:rsid w:val="00AD187F"/>
    <w:rsid w:val="00AD1A72"/>
    <w:rsid w:val="00AD206B"/>
    <w:rsid w:val="00AD3175"/>
    <w:rsid w:val="00AD4CEA"/>
    <w:rsid w:val="00AD5E6B"/>
    <w:rsid w:val="00AD5F27"/>
    <w:rsid w:val="00AD66BE"/>
    <w:rsid w:val="00AD66EB"/>
    <w:rsid w:val="00AD6A2C"/>
    <w:rsid w:val="00AE0014"/>
    <w:rsid w:val="00AE01B8"/>
    <w:rsid w:val="00AE0880"/>
    <w:rsid w:val="00AE131A"/>
    <w:rsid w:val="00AE175E"/>
    <w:rsid w:val="00AE2221"/>
    <w:rsid w:val="00AE2387"/>
    <w:rsid w:val="00AE297E"/>
    <w:rsid w:val="00AE2D4B"/>
    <w:rsid w:val="00AE2DF7"/>
    <w:rsid w:val="00AE2E89"/>
    <w:rsid w:val="00AE2E96"/>
    <w:rsid w:val="00AE3BD0"/>
    <w:rsid w:val="00AE45E7"/>
    <w:rsid w:val="00AE47F3"/>
    <w:rsid w:val="00AE5816"/>
    <w:rsid w:val="00AE607C"/>
    <w:rsid w:val="00AE63A9"/>
    <w:rsid w:val="00AE63B8"/>
    <w:rsid w:val="00AE66C8"/>
    <w:rsid w:val="00AE76FC"/>
    <w:rsid w:val="00AF0006"/>
    <w:rsid w:val="00AF0144"/>
    <w:rsid w:val="00AF15AB"/>
    <w:rsid w:val="00AF1755"/>
    <w:rsid w:val="00AF1A3B"/>
    <w:rsid w:val="00AF2B5B"/>
    <w:rsid w:val="00AF346A"/>
    <w:rsid w:val="00AF3E74"/>
    <w:rsid w:val="00AF42DF"/>
    <w:rsid w:val="00AF5877"/>
    <w:rsid w:val="00AF5A4B"/>
    <w:rsid w:val="00AF5B1D"/>
    <w:rsid w:val="00AF7028"/>
    <w:rsid w:val="00AF7752"/>
    <w:rsid w:val="00AF7BB5"/>
    <w:rsid w:val="00AF7BC6"/>
    <w:rsid w:val="00B00008"/>
    <w:rsid w:val="00B00193"/>
    <w:rsid w:val="00B00196"/>
    <w:rsid w:val="00B008CE"/>
    <w:rsid w:val="00B00C08"/>
    <w:rsid w:val="00B01C0C"/>
    <w:rsid w:val="00B02CC3"/>
    <w:rsid w:val="00B02F15"/>
    <w:rsid w:val="00B03E8A"/>
    <w:rsid w:val="00B04019"/>
    <w:rsid w:val="00B043EB"/>
    <w:rsid w:val="00B0544F"/>
    <w:rsid w:val="00B0587D"/>
    <w:rsid w:val="00B06236"/>
    <w:rsid w:val="00B062A4"/>
    <w:rsid w:val="00B06604"/>
    <w:rsid w:val="00B06934"/>
    <w:rsid w:val="00B069D6"/>
    <w:rsid w:val="00B06A66"/>
    <w:rsid w:val="00B074D2"/>
    <w:rsid w:val="00B07B12"/>
    <w:rsid w:val="00B10B1C"/>
    <w:rsid w:val="00B10E90"/>
    <w:rsid w:val="00B11969"/>
    <w:rsid w:val="00B12537"/>
    <w:rsid w:val="00B12BC9"/>
    <w:rsid w:val="00B136B4"/>
    <w:rsid w:val="00B13E09"/>
    <w:rsid w:val="00B140F8"/>
    <w:rsid w:val="00B14CA5"/>
    <w:rsid w:val="00B1510B"/>
    <w:rsid w:val="00B16731"/>
    <w:rsid w:val="00B16926"/>
    <w:rsid w:val="00B1704F"/>
    <w:rsid w:val="00B1720B"/>
    <w:rsid w:val="00B17B56"/>
    <w:rsid w:val="00B17E1E"/>
    <w:rsid w:val="00B20B86"/>
    <w:rsid w:val="00B21636"/>
    <w:rsid w:val="00B2183A"/>
    <w:rsid w:val="00B21ACB"/>
    <w:rsid w:val="00B221A3"/>
    <w:rsid w:val="00B226D7"/>
    <w:rsid w:val="00B23081"/>
    <w:rsid w:val="00B232FE"/>
    <w:rsid w:val="00B23F59"/>
    <w:rsid w:val="00B23FF5"/>
    <w:rsid w:val="00B2463E"/>
    <w:rsid w:val="00B249E3"/>
    <w:rsid w:val="00B24C82"/>
    <w:rsid w:val="00B24D44"/>
    <w:rsid w:val="00B24DD2"/>
    <w:rsid w:val="00B25159"/>
    <w:rsid w:val="00B25251"/>
    <w:rsid w:val="00B25ED2"/>
    <w:rsid w:val="00B26356"/>
    <w:rsid w:val="00B27A96"/>
    <w:rsid w:val="00B27D1D"/>
    <w:rsid w:val="00B30044"/>
    <w:rsid w:val="00B309BA"/>
    <w:rsid w:val="00B3111E"/>
    <w:rsid w:val="00B3184F"/>
    <w:rsid w:val="00B31ACC"/>
    <w:rsid w:val="00B3238C"/>
    <w:rsid w:val="00B325B5"/>
    <w:rsid w:val="00B33AE3"/>
    <w:rsid w:val="00B33C57"/>
    <w:rsid w:val="00B33D7D"/>
    <w:rsid w:val="00B34168"/>
    <w:rsid w:val="00B34757"/>
    <w:rsid w:val="00B349BC"/>
    <w:rsid w:val="00B35059"/>
    <w:rsid w:val="00B36155"/>
    <w:rsid w:val="00B36461"/>
    <w:rsid w:val="00B37B9B"/>
    <w:rsid w:val="00B404F2"/>
    <w:rsid w:val="00B41824"/>
    <w:rsid w:val="00B424BD"/>
    <w:rsid w:val="00B424CC"/>
    <w:rsid w:val="00B44427"/>
    <w:rsid w:val="00B455D8"/>
    <w:rsid w:val="00B46A44"/>
    <w:rsid w:val="00B46CA7"/>
    <w:rsid w:val="00B46DFB"/>
    <w:rsid w:val="00B47E83"/>
    <w:rsid w:val="00B50257"/>
    <w:rsid w:val="00B5032F"/>
    <w:rsid w:val="00B515CB"/>
    <w:rsid w:val="00B51A4C"/>
    <w:rsid w:val="00B526D6"/>
    <w:rsid w:val="00B52845"/>
    <w:rsid w:val="00B52DE4"/>
    <w:rsid w:val="00B52E66"/>
    <w:rsid w:val="00B533F9"/>
    <w:rsid w:val="00B53D80"/>
    <w:rsid w:val="00B54417"/>
    <w:rsid w:val="00B548EE"/>
    <w:rsid w:val="00B54AE0"/>
    <w:rsid w:val="00B5566D"/>
    <w:rsid w:val="00B56625"/>
    <w:rsid w:val="00B56963"/>
    <w:rsid w:val="00B57165"/>
    <w:rsid w:val="00B572CF"/>
    <w:rsid w:val="00B5757D"/>
    <w:rsid w:val="00B60465"/>
    <w:rsid w:val="00B6074D"/>
    <w:rsid w:val="00B60CB1"/>
    <w:rsid w:val="00B60CDC"/>
    <w:rsid w:val="00B60D92"/>
    <w:rsid w:val="00B61626"/>
    <w:rsid w:val="00B61A4A"/>
    <w:rsid w:val="00B62261"/>
    <w:rsid w:val="00B625E4"/>
    <w:rsid w:val="00B6289D"/>
    <w:rsid w:val="00B637A7"/>
    <w:rsid w:val="00B638DA"/>
    <w:rsid w:val="00B63C38"/>
    <w:rsid w:val="00B63F25"/>
    <w:rsid w:val="00B6461E"/>
    <w:rsid w:val="00B650DA"/>
    <w:rsid w:val="00B65224"/>
    <w:rsid w:val="00B656EC"/>
    <w:rsid w:val="00B658A9"/>
    <w:rsid w:val="00B65BDE"/>
    <w:rsid w:val="00B65C82"/>
    <w:rsid w:val="00B6619A"/>
    <w:rsid w:val="00B6621B"/>
    <w:rsid w:val="00B669E1"/>
    <w:rsid w:val="00B66BE9"/>
    <w:rsid w:val="00B67621"/>
    <w:rsid w:val="00B70012"/>
    <w:rsid w:val="00B70364"/>
    <w:rsid w:val="00B70572"/>
    <w:rsid w:val="00B70BDF"/>
    <w:rsid w:val="00B7179C"/>
    <w:rsid w:val="00B71E0D"/>
    <w:rsid w:val="00B72302"/>
    <w:rsid w:val="00B726C9"/>
    <w:rsid w:val="00B72805"/>
    <w:rsid w:val="00B728E2"/>
    <w:rsid w:val="00B73CD2"/>
    <w:rsid w:val="00B7456A"/>
    <w:rsid w:val="00B748B0"/>
    <w:rsid w:val="00B753CD"/>
    <w:rsid w:val="00B75628"/>
    <w:rsid w:val="00B7593F"/>
    <w:rsid w:val="00B75D95"/>
    <w:rsid w:val="00B75FA6"/>
    <w:rsid w:val="00B76BB8"/>
    <w:rsid w:val="00B76C90"/>
    <w:rsid w:val="00B773BE"/>
    <w:rsid w:val="00B7750C"/>
    <w:rsid w:val="00B81114"/>
    <w:rsid w:val="00B81604"/>
    <w:rsid w:val="00B8185F"/>
    <w:rsid w:val="00B82164"/>
    <w:rsid w:val="00B82889"/>
    <w:rsid w:val="00B82EB5"/>
    <w:rsid w:val="00B83676"/>
    <w:rsid w:val="00B8436A"/>
    <w:rsid w:val="00B846D0"/>
    <w:rsid w:val="00B84F4D"/>
    <w:rsid w:val="00B8563A"/>
    <w:rsid w:val="00B86038"/>
    <w:rsid w:val="00B8620D"/>
    <w:rsid w:val="00B86CDC"/>
    <w:rsid w:val="00B87B28"/>
    <w:rsid w:val="00B905FE"/>
    <w:rsid w:val="00B90B9B"/>
    <w:rsid w:val="00B90C7E"/>
    <w:rsid w:val="00B90D85"/>
    <w:rsid w:val="00B917BC"/>
    <w:rsid w:val="00B91A3B"/>
    <w:rsid w:val="00B92124"/>
    <w:rsid w:val="00B9219C"/>
    <w:rsid w:val="00B9220A"/>
    <w:rsid w:val="00B9280A"/>
    <w:rsid w:val="00B92F09"/>
    <w:rsid w:val="00B93510"/>
    <w:rsid w:val="00B93B0C"/>
    <w:rsid w:val="00B94842"/>
    <w:rsid w:val="00B94B5B"/>
    <w:rsid w:val="00B95056"/>
    <w:rsid w:val="00B9678C"/>
    <w:rsid w:val="00B9702C"/>
    <w:rsid w:val="00B973AD"/>
    <w:rsid w:val="00BA01E9"/>
    <w:rsid w:val="00BA0A2B"/>
    <w:rsid w:val="00BA0CF1"/>
    <w:rsid w:val="00BA215C"/>
    <w:rsid w:val="00BA23F0"/>
    <w:rsid w:val="00BA29E5"/>
    <w:rsid w:val="00BA3B5D"/>
    <w:rsid w:val="00BA3D4C"/>
    <w:rsid w:val="00BA3E5F"/>
    <w:rsid w:val="00BA44BE"/>
    <w:rsid w:val="00BA49E5"/>
    <w:rsid w:val="00BA5240"/>
    <w:rsid w:val="00BA7603"/>
    <w:rsid w:val="00BB0BA9"/>
    <w:rsid w:val="00BB17E4"/>
    <w:rsid w:val="00BB1980"/>
    <w:rsid w:val="00BB1B00"/>
    <w:rsid w:val="00BB275E"/>
    <w:rsid w:val="00BB276F"/>
    <w:rsid w:val="00BB27C1"/>
    <w:rsid w:val="00BB3CDB"/>
    <w:rsid w:val="00BB5B2C"/>
    <w:rsid w:val="00BB5E07"/>
    <w:rsid w:val="00BB65A1"/>
    <w:rsid w:val="00BB7496"/>
    <w:rsid w:val="00BB7C41"/>
    <w:rsid w:val="00BB7EC9"/>
    <w:rsid w:val="00BC0131"/>
    <w:rsid w:val="00BC1BA0"/>
    <w:rsid w:val="00BC1CF6"/>
    <w:rsid w:val="00BC1F8B"/>
    <w:rsid w:val="00BC20AA"/>
    <w:rsid w:val="00BC20C0"/>
    <w:rsid w:val="00BC24BE"/>
    <w:rsid w:val="00BC2A15"/>
    <w:rsid w:val="00BC35B4"/>
    <w:rsid w:val="00BC3FEA"/>
    <w:rsid w:val="00BC4478"/>
    <w:rsid w:val="00BC45AD"/>
    <w:rsid w:val="00BC4772"/>
    <w:rsid w:val="00BC4A5C"/>
    <w:rsid w:val="00BC4B07"/>
    <w:rsid w:val="00BC4D1E"/>
    <w:rsid w:val="00BC526B"/>
    <w:rsid w:val="00BC5764"/>
    <w:rsid w:val="00BC6242"/>
    <w:rsid w:val="00BC6A56"/>
    <w:rsid w:val="00BC6A87"/>
    <w:rsid w:val="00BC6E18"/>
    <w:rsid w:val="00BC70E7"/>
    <w:rsid w:val="00BC72F8"/>
    <w:rsid w:val="00BC7704"/>
    <w:rsid w:val="00BC7992"/>
    <w:rsid w:val="00BC7A93"/>
    <w:rsid w:val="00BC7B23"/>
    <w:rsid w:val="00BD0313"/>
    <w:rsid w:val="00BD1635"/>
    <w:rsid w:val="00BD1BEE"/>
    <w:rsid w:val="00BD1EBE"/>
    <w:rsid w:val="00BD2F26"/>
    <w:rsid w:val="00BD3764"/>
    <w:rsid w:val="00BD3855"/>
    <w:rsid w:val="00BD54BB"/>
    <w:rsid w:val="00BD56C0"/>
    <w:rsid w:val="00BD5721"/>
    <w:rsid w:val="00BD6069"/>
    <w:rsid w:val="00BD65EB"/>
    <w:rsid w:val="00BD68F0"/>
    <w:rsid w:val="00BD6D68"/>
    <w:rsid w:val="00BD6E58"/>
    <w:rsid w:val="00BD734F"/>
    <w:rsid w:val="00BD755D"/>
    <w:rsid w:val="00BD7E65"/>
    <w:rsid w:val="00BE039F"/>
    <w:rsid w:val="00BE0A54"/>
    <w:rsid w:val="00BE1E13"/>
    <w:rsid w:val="00BE2137"/>
    <w:rsid w:val="00BE3634"/>
    <w:rsid w:val="00BE3AEE"/>
    <w:rsid w:val="00BE4072"/>
    <w:rsid w:val="00BE420C"/>
    <w:rsid w:val="00BE4960"/>
    <w:rsid w:val="00BE5270"/>
    <w:rsid w:val="00BE54D5"/>
    <w:rsid w:val="00BE639A"/>
    <w:rsid w:val="00BE7658"/>
    <w:rsid w:val="00BE7766"/>
    <w:rsid w:val="00BE7D90"/>
    <w:rsid w:val="00BE7E88"/>
    <w:rsid w:val="00BF10A8"/>
    <w:rsid w:val="00BF3492"/>
    <w:rsid w:val="00BF656E"/>
    <w:rsid w:val="00BF6835"/>
    <w:rsid w:val="00BF6C38"/>
    <w:rsid w:val="00BF7979"/>
    <w:rsid w:val="00C00C9E"/>
    <w:rsid w:val="00C01358"/>
    <w:rsid w:val="00C01AF4"/>
    <w:rsid w:val="00C03BF6"/>
    <w:rsid w:val="00C03C67"/>
    <w:rsid w:val="00C03FF6"/>
    <w:rsid w:val="00C0460B"/>
    <w:rsid w:val="00C0461B"/>
    <w:rsid w:val="00C04670"/>
    <w:rsid w:val="00C054E4"/>
    <w:rsid w:val="00C0577D"/>
    <w:rsid w:val="00C05CC3"/>
    <w:rsid w:val="00C062AC"/>
    <w:rsid w:val="00C06467"/>
    <w:rsid w:val="00C06935"/>
    <w:rsid w:val="00C06BB2"/>
    <w:rsid w:val="00C070EF"/>
    <w:rsid w:val="00C07C38"/>
    <w:rsid w:val="00C10E46"/>
    <w:rsid w:val="00C11361"/>
    <w:rsid w:val="00C1155C"/>
    <w:rsid w:val="00C11C27"/>
    <w:rsid w:val="00C12EBD"/>
    <w:rsid w:val="00C130F3"/>
    <w:rsid w:val="00C136BB"/>
    <w:rsid w:val="00C137D6"/>
    <w:rsid w:val="00C13DC0"/>
    <w:rsid w:val="00C1401E"/>
    <w:rsid w:val="00C14A54"/>
    <w:rsid w:val="00C15298"/>
    <w:rsid w:val="00C1531F"/>
    <w:rsid w:val="00C15493"/>
    <w:rsid w:val="00C16400"/>
    <w:rsid w:val="00C16B6B"/>
    <w:rsid w:val="00C16FA0"/>
    <w:rsid w:val="00C170E4"/>
    <w:rsid w:val="00C175E2"/>
    <w:rsid w:val="00C201A5"/>
    <w:rsid w:val="00C205AE"/>
    <w:rsid w:val="00C20A80"/>
    <w:rsid w:val="00C20AE8"/>
    <w:rsid w:val="00C210D9"/>
    <w:rsid w:val="00C2126F"/>
    <w:rsid w:val="00C219D1"/>
    <w:rsid w:val="00C21DB5"/>
    <w:rsid w:val="00C22B98"/>
    <w:rsid w:val="00C23392"/>
    <w:rsid w:val="00C2378E"/>
    <w:rsid w:val="00C23E5D"/>
    <w:rsid w:val="00C242CA"/>
    <w:rsid w:val="00C242EB"/>
    <w:rsid w:val="00C25377"/>
    <w:rsid w:val="00C26559"/>
    <w:rsid w:val="00C268A5"/>
    <w:rsid w:val="00C26D3B"/>
    <w:rsid w:val="00C2709D"/>
    <w:rsid w:val="00C272F4"/>
    <w:rsid w:val="00C30284"/>
    <w:rsid w:val="00C30603"/>
    <w:rsid w:val="00C30AF7"/>
    <w:rsid w:val="00C3294C"/>
    <w:rsid w:val="00C32D6A"/>
    <w:rsid w:val="00C33428"/>
    <w:rsid w:val="00C3562C"/>
    <w:rsid w:val="00C35838"/>
    <w:rsid w:val="00C3583B"/>
    <w:rsid w:val="00C35F0A"/>
    <w:rsid w:val="00C35F3C"/>
    <w:rsid w:val="00C36309"/>
    <w:rsid w:val="00C36463"/>
    <w:rsid w:val="00C36D3C"/>
    <w:rsid w:val="00C36E94"/>
    <w:rsid w:val="00C378CC"/>
    <w:rsid w:val="00C37D4E"/>
    <w:rsid w:val="00C406DD"/>
    <w:rsid w:val="00C409F7"/>
    <w:rsid w:val="00C4154A"/>
    <w:rsid w:val="00C41758"/>
    <w:rsid w:val="00C418E3"/>
    <w:rsid w:val="00C418E8"/>
    <w:rsid w:val="00C431C2"/>
    <w:rsid w:val="00C44D33"/>
    <w:rsid w:val="00C45DCF"/>
    <w:rsid w:val="00C461D2"/>
    <w:rsid w:val="00C463DB"/>
    <w:rsid w:val="00C46521"/>
    <w:rsid w:val="00C47843"/>
    <w:rsid w:val="00C507F9"/>
    <w:rsid w:val="00C50AEE"/>
    <w:rsid w:val="00C50DEE"/>
    <w:rsid w:val="00C52DAF"/>
    <w:rsid w:val="00C52E3B"/>
    <w:rsid w:val="00C532C3"/>
    <w:rsid w:val="00C53325"/>
    <w:rsid w:val="00C53687"/>
    <w:rsid w:val="00C54BFA"/>
    <w:rsid w:val="00C558F7"/>
    <w:rsid w:val="00C5626B"/>
    <w:rsid w:val="00C56AF9"/>
    <w:rsid w:val="00C56C02"/>
    <w:rsid w:val="00C56CA3"/>
    <w:rsid w:val="00C56DB4"/>
    <w:rsid w:val="00C56DFB"/>
    <w:rsid w:val="00C56E38"/>
    <w:rsid w:val="00C575F7"/>
    <w:rsid w:val="00C577C8"/>
    <w:rsid w:val="00C57914"/>
    <w:rsid w:val="00C600DD"/>
    <w:rsid w:val="00C601B4"/>
    <w:rsid w:val="00C60C57"/>
    <w:rsid w:val="00C612B0"/>
    <w:rsid w:val="00C612CD"/>
    <w:rsid w:val="00C62864"/>
    <w:rsid w:val="00C62A5F"/>
    <w:rsid w:val="00C646BD"/>
    <w:rsid w:val="00C647E1"/>
    <w:rsid w:val="00C65007"/>
    <w:rsid w:val="00C65066"/>
    <w:rsid w:val="00C652BE"/>
    <w:rsid w:val="00C65E38"/>
    <w:rsid w:val="00C666D4"/>
    <w:rsid w:val="00C67A4D"/>
    <w:rsid w:val="00C70254"/>
    <w:rsid w:val="00C702D3"/>
    <w:rsid w:val="00C7039B"/>
    <w:rsid w:val="00C704DD"/>
    <w:rsid w:val="00C70550"/>
    <w:rsid w:val="00C70F3C"/>
    <w:rsid w:val="00C71201"/>
    <w:rsid w:val="00C72910"/>
    <w:rsid w:val="00C72A16"/>
    <w:rsid w:val="00C7385D"/>
    <w:rsid w:val="00C7394B"/>
    <w:rsid w:val="00C73F08"/>
    <w:rsid w:val="00C745DE"/>
    <w:rsid w:val="00C74950"/>
    <w:rsid w:val="00C75423"/>
    <w:rsid w:val="00C7582D"/>
    <w:rsid w:val="00C75B3F"/>
    <w:rsid w:val="00C76E22"/>
    <w:rsid w:val="00C77693"/>
    <w:rsid w:val="00C77A8C"/>
    <w:rsid w:val="00C77AAD"/>
    <w:rsid w:val="00C80A05"/>
    <w:rsid w:val="00C82E6A"/>
    <w:rsid w:val="00C83FC4"/>
    <w:rsid w:val="00C84137"/>
    <w:rsid w:val="00C84912"/>
    <w:rsid w:val="00C849F1"/>
    <w:rsid w:val="00C85132"/>
    <w:rsid w:val="00C87B24"/>
    <w:rsid w:val="00C90A64"/>
    <w:rsid w:val="00C90D5B"/>
    <w:rsid w:val="00C9181F"/>
    <w:rsid w:val="00C91970"/>
    <w:rsid w:val="00C92576"/>
    <w:rsid w:val="00C92B29"/>
    <w:rsid w:val="00C9309D"/>
    <w:rsid w:val="00C9311D"/>
    <w:rsid w:val="00C93130"/>
    <w:rsid w:val="00C935CA"/>
    <w:rsid w:val="00C938AC"/>
    <w:rsid w:val="00C94BA5"/>
    <w:rsid w:val="00C96562"/>
    <w:rsid w:val="00C967A6"/>
    <w:rsid w:val="00C96C34"/>
    <w:rsid w:val="00C96C48"/>
    <w:rsid w:val="00CA03BF"/>
    <w:rsid w:val="00CA03C8"/>
    <w:rsid w:val="00CA10D9"/>
    <w:rsid w:val="00CA1458"/>
    <w:rsid w:val="00CA31D4"/>
    <w:rsid w:val="00CA35BB"/>
    <w:rsid w:val="00CA3C2B"/>
    <w:rsid w:val="00CA41D6"/>
    <w:rsid w:val="00CA4448"/>
    <w:rsid w:val="00CA4894"/>
    <w:rsid w:val="00CA4DBE"/>
    <w:rsid w:val="00CA5486"/>
    <w:rsid w:val="00CA5597"/>
    <w:rsid w:val="00CA58D9"/>
    <w:rsid w:val="00CA6565"/>
    <w:rsid w:val="00CA67D4"/>
    <w:rsid w:val="00CA722A"/>
    <w:rsid w:val="00CA7F3E"/>
    <w:rsid w:val="00CB0C05"/>
    <w:rsid w:val="00CB14F6"/>
    <w:rsid w:val="00CB15FC"/>
    <w:rsid w:val="00CB1AD2"/>
    <w:rsid w:val="00CB1DE4"/>
    <w:rsid w:val="00CB23BF"/>
    <w:rsid w:val="00CB249A"/>
    <w:rsid w:val="00CB2C74"/>
    <w:rsid w:val="00CB311A"/>
    <w:rsid w:val="00CB3AD2"/>
    <w:rsid w:val="00CB4326"/>
    <w:rsid w:val="00CB4A20"/>
    <w:rsid w:val="00CB614D"/>
    <w:rsid w:val="00CB6CA8"/>
    <w:rsid w:val="00CB7EFF"/>
    <w:rsid w:val="00CC1182"/>
    <w:rsid w:val="00CC1CED"/>
    <w:rsid w:val="00CC2294"/>
    <w:rsid w:val="00CC2344"/>
    <w:rsid w:val="00CC2433"/>
    <w:rsid w:val="00CC243B"/>
    <w:rsid w:val="00CC323F"/>
    <w:rsid w:val="00CC3EEB"/>
    <w:rsid w:val="00CC4773"/>
    <w:rsid w:val="00CC4A60"/>
    <w:rsid w:val="00CC4AC0"/>
    <w:rsid w:val="00CC5D02"/>
    <w:rsid w:val="00CC5EA3"/>
    <w:rsid w:val="00CC6AB4"/>
    <w:rsid w:val="00CD06FB"/>
    <w:rsid w:val="00CD0CA1"/>
    <w:rsid w:val="00CD1472"/>
    <w:rsid w:val="00CD1766"/>
    <w:rsid w:val="00CD1BD3"/>
    <w:rsid w:val="00CD231B"/>
    <w:rsid w:val="00CD2455"/>
    <w:rsid w:val="00CD2B48"/>
    <w:rsid w:val="00CD3B57"/>
    <w:rsid w:val="00CD3C4A"/>
    <w:rsid w:val="00CD460E"/>
    <w:rsid w:val="00CD4C19"/>
    <w:rsid w:val="00CD4E5B"/>
    <w:rsid w:val="00CD5740"/>
    <w:rsid w:val="00CD5BFB"/>
    <w:rsid w:val="00CD6F21"/>
    <w:rsid w:val="00CD734F"/>
    <w:rsid w:val="00CD761B"/>
    <w:rsid w:val="00CD786C"/>
    <w:rsid w:val="00CD7D38"/>
    <w:rsid w:val="00CE00DC"/>
    <w:rsid w:val="00CE0280"/>
    <w:rsid w:val="00CE1539"/>
    <w:rsid w:val="00CE15E5"/>
    <w:rsid w:val="00CE28F1"/>
    <w:rsid w:val="00CE3845"/>
    <w:rsid w:val="00CE417D"/>
    <w:rsid w:val="00CE44F8"/>
    <w:rsid w:val="00CE4DDE"/>
    <w:rsid w:val="00CE55FE"/>
    <w:rsid w:val="00CE581A"/>
    <w:rsid w:val="00CE5D62"/>
    <w:rsid w:val="00CE6004"/>
    <w:rsid w:val="00CE61AD"/>
    <w:rsid w:val="00CE67F3"/>
    <w:rsid w:val="00CE725E"/>
    <w:rsid w:val="00CE7779"/>
    <w:rsid w:val="00CE7B42"/>
    <w:rsid w:val="00CE7C8D"/>
    <w:rsid w:val="00CE7F37"/>
    <w:rsid w:val="00CF0095"/>
    <w:rsid w:val="00CF1FCE"/>
    <w:rsid w:val="00CF218C"/>
    <w:rsid w:val="00CF2715"/>
    <w:rsid w:val="00CF4409"/>
    <w:rsid w:val="00CF44F9"/>
    <w:rsid w:val="00CF46A3"/>
    <w:rsid w:val="00CF49B4"/>
    <w:rsid w:val="00CF4E6D"/>
    <w:rsid w:val="00CF584F"/>
    <w:rsid w:val="00CF5FEB"/>
    <w:rsid w:val="00CF6BDE"/>
    <w:rsid w:val="00CF76EE"/>
    <w:rsid w:val="00CF77EF"/>
    <w:rsid w:val="00CF7899"/>
    <w:rsid w:val="00CF7933"/>
    <w:rsid w:val="00D00E10"/>
    <w:rsid w:val="00D016F5"/>
    <w:rsid w:val="00D01DEA"/>
    <w:rsid w:val="00D0239A"/>
    <w:rsid w:val="00D025AC"/>
    <w:rsid w:val="00D026FC"/>
    <w:rsid w:val="00D03C15"/>
    <w:rsid w:val="00D03F94"/>
    <w:rsid w:val="00D06468"/>
    <w:rsid w:val="00D06513"/>
    <w:rsid w:val="00D06CD6"/>
    <w:rsid w:val="00D10A46"/>
    <w:rsid w:val="00D1140E"/>
    <w:rsid w:val="00D11E68"/>
    <w:rsid w:val="00D123A0"/>
    <w:rsid w:val="00D126EC"/>
    <w:rsid w:val="00D13371"/>
    <w:rsid w:val="00D13FBA"/>
    <w:rsid w:val="00D14190"/>
    <w:rsid w:val="00D153E0"/>
    <w:rsid w:val="00D15538"/>
    <w:rsid w:val="00D1568A"/>
    <w:rsid w:val="00D16B34"/>
    <w:rsid w:val="00D1724B"/>
    <w:rsid w:val="00D175F6"/>
    <w:rsid w:val="00D17747"/>
    <w:rsid w:val="00D20243"/>
    <w:rsid w:val="00D20D65"/>
    <w:rsid w:val="00D2157C"/>
    <w:rsid w:val="00D21A76"/>
    <w:rsid w:val="00D21CA5"/>
    <w:rsid w:val="00D21D66"/>
    <w:rsid w:val="00D231CC"/>
    <w:rsid w:val="00D244C3"/>
    <w:rsid w:val="00D25102"/>
    <w:rsid w:val="00D25950"/>
    <w:rsid w:val="00D264C9"/>
    <w:rsid w:val="00D26EAA"/>
    <w:rsid w:val="00D26ED3"/>
    <w:rsid w:val="00D279DE"/>
    <w:rsid w:val="00D27DD2"/>
    <w:rsid w:val="00D27EB2"/>
    <w:rsid w:val="00D304B8"/>
    <w:rsid w:val="00D30E3A"/>
    <w:rsid w:val="00D31617"/>
    <w:rsid w:val="00D316A4"/>
    <w:rsid w:val="00D328CD"/>
    <w:rsid w:val="00D32AEE"/>
    <w:rsid w:val="00D34125"/>
    <w:rsid w:val="00D3462F"/>
    <w:rsid w:val="00D35270"/>
    <w:rsid w:val="00D3551D"/>
    <w:rsid w:val="00D35A6D"/>
    <w:rsid w:val="00D36AB3"/>
    <w:rsid w:val="00D36CCD"/>
    <w:rsid w:val="00D36ED1"/>
    <w:rsid w:val="00D4037E"/>
    <w:rsid w:val="00D41435"/>
    <w:rsid w:val="00D4160C"/>
    <w:rsid w:val="00D42263"/>
    <w:rsid w:val="00D42B83"/>
    <w:rsid w:val="00D4396E"/>
    <w:rsid w:val="00D4461C"/>
    <w:rsid w:val="00D456EB"/>
    <w:rsid w:val="00D46AF5"/>
    <w:rsid w:val="00D47B46"/>
    <w:rsid w:val="00D47EA2"/>
    <w:rsid w:val="00D5040D"/>
    <w:rsid w:val="00D51809"/>
    <w:rsid w:val="00D52A64"/>
    <w:rsid w:val="00D53A0D"/>
    <w:rsid w:val="00D5424D"/>
    <w:rsid w:val="00D5426F"/>
    <w:rsid w:val="00D54582"/>
    <w:rsid w:val="00D56026"/>
    <w:rsid w:val="00D56EAE"/>
    <w:rsid w:val="00D57D3C"/>
    <w:rsid w:val="00D57D48"/>
    <w:rsid w:val="00D602E9"/>
    <w:rsid w:val="00D60C5C"/>
    <w:rsid w:val="00D61786"/>
    <w:rsid w:val="00D639E4"/>
    <w:rsid w:val="00D63B44"/>
    <w:rsid w:val="00D63D2A"/>
    <w:rsid w:val="00D63E67"/>
    <w:rsid w:val="00D64202"/>
    <w:rsid w:val="00D646B9"/>
    <w:rsid w:val="00D652AF"/>
    <w:rsid w:val="00D65780"/>
    <w:rsid w:val="00D65BFD"/>
    <w:rsid w:val="00D6605D"/>
    <w:rsid w:val="00D66262"/>
    <w:rsid w:val="00D66943"/>
    <w:rsid w:val="00D671B6"/>
    <w:rsid w:val="00D676FF"/>
    <w:rsid w:val="00D67FA5"/>
    <w:rsid w:val="00D707CC"/>
    <w:rsid w:val="00D707FF"/>
    <w:rsid w:val="00D715F2"/>
    <w:rsid w:val="00D71926"/>
    <w:rsid w:val="00D7204E"/>
    <w:rsid w:val="00D722A2"/>
    <w:rsid w:val="00D72B25"/>
    <w:rsid w:val="00D733ED"/>
    <w:rsid w:val="00D7462E"/>
    <w:rsid w:val="00D758C3"/>
    <w:rsid w:val="00D75AE6"/>
    <w:rsid w:val="00D75EF3"/>
    <w:rsid w:val="00D761D0"/>
    <w:rsid w:val="00D76387"/>
    <w:rsid w:val="00D76403"/>
    <w:rsid w:val="00D76B46"/>
    <w:rsid w:val="00D802E4"/>
    <w:rsid w:val="00D8068A"/>
    <w:rsid w:val="00D80C53"/>
    <w:rsid w:val="00D81530"/>
    <w:rsid w:val="00D8273B"/>
    <w:rsid w:val="00D828F4"/>
    <w:rsid w:val="00D82EA2"/>
    <w:rsid w:val="00D83478"/>
    <w:rsid w:val="00D83C03"/>
    <w:rsid w:val="00D83C77"/>
    <w:rsid w:val="00D842D4"/>
    <w:rsid w:val="00D84323"/>
    <w:rsid w:val="00D8503F"/>
    <w:rsid w:val="00D85547"/>
    <w:rsid w:val="00D85CD6"/>
    <w:rsid w:val="00D8631F"/>
    <w:rsid w:val="00D86495"/>
    <w:rsid w:val="00D87726"/>
    <w:rsid w:val="00D912C1"/>
    <w:rsid w:val="00D914C8"/>
    <w:rsid w:val="00D91FE3"/>
    <w:rsid w:val="00D944B5"/>
    <w:rsid w:val="00D962F0"/>
    <w:rsid w:val="00D96F9A"/>
    <w:rsid w:val="00D97731"/>
    <w:rsid w:val="00DA0372"/>
    <w:rsid w:val="00DA120F"/>
    <w:rsid w:val="00DA147A"/>
    <w:rsid w:val="00DA27A6"/>
    <w:rsid w:val="00DA3E94"/>
    <w:rsid w:val="00DA4495"/>
    <w:rsid w:val="00DA4880"/>
    <w:rsid w:val="00DA4D9C"/>
    <w:rsid w:val="00DA584A"/>
    <w:rsid w:val="00DA5867"/>
    <w:rsid w:val="00DA6416"/>
    <w:rsid w:val="00DA6C43"/>
    <w:rsid w:val="00DA7C3B"/>
    <w:rsid w:val="00DB004E"/>
    <w:rsid w:val="00DB0295"/>
    <w:rsid w:val="00DB0BF5"/>
    <w:rsid w:val="00DB1159"/>
    <w:rsid w:val="00DB15B8"/>
    <w:rsid w:val="00DB25F9"/>
    <w:rsid w:val="00DB2638"/>
    <w:rsid w:val="00DB2721"/>
    <w:rsid w:val="00DB3BA7"/>
    <w:rsid w:val="00DB3E96"/>
    <w:rsid w:val="00DB408D"/>
    <w:rsid w:val="00DB40D0"/>
    <w:rsid w:val="00DB410A"/>
    <w:rsid w:val="00DB4765"/>
    <w:rsid w:val="00DB47BB"/>
    <w:rsid w:val="00DB502F"/>
    <w:rsid w:val="00DB539B"/>
    <w:rsid w:val="00DB5425"/>
    <w:rsid w:val="00DB5D78"/>
    <w:rsid w:val="00DB64CF"/>
    <w:rsid w:val="00DB6774"/>
    <w:rsid w:val="00DB7082"/>
    <w:rsid w:val="00DC1326"/>
    <w:rsid w:val="00DC1A3A"/>
    <w:rsid w:val="00DC1E43"/>
    <w:rsid w:val="00DC20E5"/>
    <w:rsid w:val="00DC24CC"/>
    <w:rsid w:val="00DC295A"/>
    <w:rsid w:val="00DC2CCA"/>
    <w:rsid w:val="00DC2D47"/>
    <w:rsid w:val="00DC31D0"/>
    <w:rsid w:val="00DC3625"/>
    <w:rsid w:val="00DC41DD"/>
    <w:rsid w:val="00DC4385"/>
    <w:rsid w:val="00DC47CB"/>
    <w:rsid w:val="00DC4DB7"/>
    <w:rsid w:val="00DC504A"/>
    <w:rsid w:val="00DC51D1"/>
    <w:rsid w:val="00DC551E"/>
    <w:rsid w:val="00DC6062"/>
    <w:rsid w:val="00DC68FD"/>
    <w:rsid w:val="00DC7A02"/>
    <w:rsid w:val="00DC7F93"/>
    <w:rsid w:val="00DD0A8F"/>
    <w:rsid w:val="00DD1089"/>
    <w:rsid w:val="00DD2313"/>
    <w:rsid w:val="00DD245E"/>
    <w:rsid w:val="00DD2A7B"/>
    <w:rsid w:val="00DD2E1F"/>
    <w:rsid w:val="00DD3066"/>
    <w:rsid w:val="00DD3B04"/>
    <w:rsid w:val="00DD41F8"/>
    <w:rsid w:val="00DD4985"/>
    <w:rsid w:val="00DD4AC7"/>
    <w:rsid w:val="00DD58E5"/>
    <w:rsid w:val="00DD59BD"/>
    <w:rsid w:val="00DD5D06"/>
    <w:rsid w:val="00DD5E30"/>
    <w:rsid w:val="00DD5FE9"/>
    <w:rsid w:val="00DD6535"/>
    <w:rsid w:val="00DE0A9A"/>
    <w:rsid w:val="00DE146F"/>
    <w:rsid w:val="00DE1566"/>
    <w:rsid w:val="00DE2401"/>
    <w:rsid w:val="00DE3534"/>
    <w:rsid w:val="00DE3E35"/>
    <w:rsid w:val="00DE4610"/>
    <w:rsid w:val="00DE4675"/>
    <w:rsid w:val="00DE479C"/>
    <w:rsid w:val="00DE47CD"/>
    <w:rsid w:val="00DE4A6A"/>
    <w:rsid w:val="00DE4D83"/>
    <w:rsid w:val="00DE4EB4"/>
    <w:rsid w:val="00DE56DE"/>
    <w:rsid w:val="00DE59E5"/>
    <w:rsid w:val="00DE656E"/>
    <w:rsid w:val="00DE6BE9"/>
    <w:rsid w:val="00DE6D17"/>
    <w:rsid w:val="00DE76FC"/>
    <w:rsid w:val="00DE7ADD"/>
    <w:rsid w:val="00DE7E6B"/>
    <w:rsid w:val="00DF0633"/>
    <w:rsid w:val="00DF0E52"/>
    <w:rsid w:val="00DF1F95"/>
    <w:rsid w:val="00DF23C5"/>
    <w:rsid w:val="00DF2807"/>
    <w:rsid w:val="00DF2859"/>
    <w:rsid w:val="00DF2AEE"/>
    <w:rsid w:val="00DF2BFC"/>
    <w:rsid w:val="00DF37BA"/>
    <w:rsid w:val="00DF3BB7"/>
    <w:rsid w:val="00DF3FF9"/>
    <w:rsid w:val="00DF4632"/>
    <w:rsid w:val="00DF4768"/>
    <w:rsid w:val="00DF4AB8"/>
    <w:rsid w:val="00DF4B7F"/>
    <w:rsid w:val="00DF6409"/>
    <w:rsid w:val="00DF67AD"/>
    <w:rsid w:val="00DF6943"/>
    <w:rsid w:val="00DF6B13"/>
    <w:rsid w:val="00DF7129"/>
    <w:rsid w:val="00DF7AC3"/>
    <w:rsid w:val="00DF7DCF"/>
    <w:rsid w:val="00E0041D"/>
    <w:rsid w:val="00E0045D"/>
    <w:rsid w:val="00E0077E"/>
    <w:rsid w:val="00E008E0"/>
    <w:rsid w:val="00E00910"/>
    <w:rsid w:val="00E00DF4"/>
    <w:rsid w:val="00E012C6"/>
    <w:rsid w:val="00E01DB5"/>
    <w:rsid w:val="00E02278"/>
    <w:rsid w:val="00E02DF7"/>
    <w:rsid w:val="00E034A5"/>
    <w:rsid w:val="00E03EF4"/>
    <w:rsid w:val="00E0400F"/>
    <w:rsid w:val="00E0402C"/>
    <w:rsid w:val="00E0467B"/>
    <w:rsid w:val="00E04EDD"/>
    <w:rsid w:val="00E06C9E"/>
    <w:rsid w:val="00E071E8"/>
    <w:rsid w:val="00E07647"/>
    <w:rsid w:val="00E10253"/>
    <w:rsid w:val="00E10387"/>
    <w:rsid w:val="00E10639"/>
    <w:rsid w:val="00E10658"/>
    <w:rsid w:val="00E107DE"/>
    <w:rsid w:val="00E10AAF"/>
    <w:rsid w:val="00E111C5"/>
    <w:rsid w:val="00E11999"/>
    <w:rsid w:val="00E12898"/>
    <w:rsid w:val="00E12999"/>
    <w:rsid w:val="00E129EC"/>
    <w:rsid w:val="00E13723"/>
    <w:rsid w:val="00E14279"/>
    <w:rsid w:val="00E15708"/>
    <w:rsid w:val="00E161E2"/>
    <w:rsid w:val="00E1768F"/>
    <w:rsid w:val="00E20CCD"/>
    <w:rsid w:val="00E21877"/>
    <w:rsid w:val="00E23048"/>
    <w:rsid w:val="00E23CCC"/>
    <w:rsid w:val="00E245D1"/>
    <w:rsid w:val="00E2495C"/>
    <w:rsid w:val="00E24C69"/>
    <w:rsid w:val="00E2551A"/>
    <w:rsid w:val="00E25564"/>
    <w:rsid w:val="00E27263"/>
    <w:rsid w:val="00E273BE"/>
    <w:rsid w:val="00E27A9C"/>
    <w:rsid w:val="00E27B04"/>
    <w:rsid w:val="00E302E0"/>
    <w:rsid w:val="00E30814"/>
    <w:rsid w:val="00E30E55"/>
    <w:rsid w:val="00E31BE3"/>
    <w:rsid w:val="00E326BD"/>
    <w:rsid w:val="00E336BD"/>
    <w:rsid w:val="00E35D4A"/>
    <w:rsid w:val="00E3698D"/>
    <w:rsid w:val="00E371AD"/>
    <w:rsid w:val="00E37914"/>
    <w:rsid w:val="00E37D2C"/>
    <w:rsid w:val="00E401AE"/>
    <w:rsid w:val="00E4079D"/>
    <w:rsid w:val="00E407BD"/>
    <w:rsid w:val="00E4113D"/>
    <w:rsid w:val="00E41457"/>
    <w:rsid w:val="00E42D77"/>
    <w:rsid w:val="00E4353E"/>
    <w:rsid w:val="00E43762"/>
    <w:rsid w:val="00E43816"/>
    <w:rsid w:val="00E4395F"/>
    <w:rsid w:val="00E44011"/>
    <w:rsid w:val="00E44810"/>
    <w:rsid w:val="00E44948"/>
    <w:rsid w:val="00E44BAC"/>
    <w:rsid w:val="00E44BD0"/>
    <w:rsid w:val="00E45451"/>
    <w:rsid w:val="00E45568"/>
    <w:rsid w:val="00E458DC"/>
    <w:rsid w:val="00E46864"/>
    <w:rsid w:val="00E47131"/>
    <w:rsid w:val="00E4728A"/>
    <w:rsid w:val="00E4757D"/>
    <w:rsid w:val="00E47FEC"/>
    <w:rsid w:val="00E50A92"/>
    <w:rsid w:val="00E50C7D"/>
    <w:rsid w:val="00E50DA5"/>
    <w:rsid w:val="00E510D3"/>
    <w:rsid w:val="00E51FCB"/>
    <w:rsid w:val="00E52324"/>
    <w:rsid w:val="00E526BF"/>
    <w:rsid w:val="00E527F6"/>
    <w:rsid w:val="00E52A47"/>
    <w:rsid w:val="00E52B6C"/>
    <w:rsid w:val="00E53305"/>
    <w:rsid w:val="00E53906"/>
    <w:rsid w:val="00E53B6E"/>
    <w:rsid w:val="00E53FB6"/>
    <w:rsid w:val="00E54797"/>
    <w:rsid w:val="00E54DB4"/>
    <w:rsid w:val="00E54F10"/>
    <w:rsid w:val="00E55CCD"/>
    <w:rsid w:val="00E56224"/>
    <w:rsid w:val="00E574F3"/>
    <w:rsid w:val="00E57DF4"/>
    <w:rsid w:val="00E60333"/>
    <w:rsid w:val="00E603BF"/>
    <w:rsid w:val="00E619B5"/>
    <w:rsid w:val="00E61FE6"/>
    <w:rsid w:val="00E62D7A"/>
    <w:rsid w:val="00E63139"/>
    <w:rsid w:val="00E63911"/>
    <w:rsid w:val="00E63CA0"/>
    <w:rsid w:val="00E6437A"/>
    <w:rsid w:val="00E648B5"/>
    <w:rsid w:val="00E65B34"/>
    <w:rsid w:val="00E667D0"/>
    <w:rsid w:val="00E668C3"/>
    <w:rsid w:val="00E66DF3"/>
    <w:rsid w:val="00E67106"/>
    <w:rsid w:val="00E6739C"/>
    <w:rsid w:val="00E70778"/>
    <w:rsid w:val="00E70B54"/>
    <w:rsid w:val="00E71412"/>
    <w:rsid w:val="00E718BC"/>
    <w:rsid w:val="00E71990"/>
    <w:rsid w:val="00E71C72"/>
    <w:rsid w:val="00E72221"/>
    <w:rsid w:val="00E722BE"/>
    <w:rsid w:val="00E7231A"/>
    <w:rsid w:val="00E723A9"/>
    <w:rsid w:val="00E72769"/>
    <w:rsid w:val="00E73B9D"/>
    <w:rsid w:val="00E73E28"/>
    <w:rsid w:val="00E74223"/>
    <w:rsid w:val="00E74D3D"/>
    <w:rsid w:val="00E7517C"/>
    <w:rsid w:val="00E76525"/>
    <w:rsid w:val="00E76AAA"/>
    <w:rsid w:val="00E76BB9"/>
    <w:rsid w:val="00E7702C"/>
    <w:rsid w:val="00E77E4F"/>
    <w:rsid w:val="00E80106"/>
    <w:rsid w:val="00E801BE"/>
    <w:rsid w:val="00E80318"/>
    <w:rsid w:val="00E80351"/>
    <w:rsid w:val="00E8036D"/>
    <w:rsid w:val="00E80833"/>
    <w:rsid w:val="00E816F4"/>
    <w:rsid w:val="00E81945"/>
    <w:rsid w:val="00E81BA2"/>
    <w:rsid w:val="00E826BE"/>
    <w:rsid w:val="00E82CDD"/>
    <w:rsid w:val="00E82F75"/>
    <w:rsid w:val="00E84409"/>
    <w:rsid w:val="00E848EF"/>
    <w:rsid w:val="00E84980"/>
    <w:rsid w:val="00E84A0C"/>
    <w:rsid w:val="00E85536"/>
    <w:rsid w:val="00E86594"/>
    <w:rsid w:val="00E86D2B"/>
    <w:rsid w:val="00E870D5"/>
    <w:rsid w:val="00E876D4"/>
    <w:rsid w:val="00E87E1E"/>
    <w:rsid w:val="00E9026A"/>
    <w:rsid w:val="00E90442"/>
    <w:rsid w:val="00E9061D"/>
    <w:rsid w:val="00E90D62"/>
    <w:rsid w:val="00E90EB5"/>
    <w:rsid w:val="00E910E4"/>
    <w:rsid w:val="00E91B27"/>
    <w:rsid w:val="00E91F86"/>
    <w:rsid w:val="00E9228B"/>
    <w:rsid w:val="00E92A12"/>
    <w:rsid w:val="00E94996"/>
    <w:rsid w:val="00E95108"/>
    <w:rsid w:val="00E95BDC"/>
    <w:rsid w:val="00E960C9"/>
    <w:rsid w:val="00E96A5D"/>
    <w:rsid w:val="00E96BFF"/>
    <w:rsid w:val="00E96DAB"/>
    <w:rsid w:val="00E96E52"/>
    <w:rsid w:val="00E96FB3"/>
    <w:rsid w:val="00E976A1"/>
    <w:rsid w:val="00E97E5A"/>
    <w:rsid w:val="00E97F2F"/>
    <w:rsid w:val="00EA0CFB"/>
    <w:rsid w:val="00EA0F20"/>
    <w:rsid w:val="00EA1190"/>
    <w:rsid w:val="00EA1506"/>
    <w:rsid w:val="00EA174B"/>
    <w:rsid w:val="00EA1B24"/>
    <w:rsid w:val="00EA1E1F"/>
    <w:rsid w:val="00EA2818"/>
    <w:rsid w:val="00EA32B8"/>
    <w:rsid w:val="00EA3690"/>
    <w:rsid w:val="00EA3C14"/>
    <w:rsid w:val="00EA491C"/>
    <w:rsid w:val="00EA5FFA"/>
    <w:rsid w:val="00EA6AA5"/>
    <w:rsid w:val="00EA7315"/>
    <w:rsid w:val="00EA7FA8"/>
    <w:rsid w:val="00EB0E7E"/>
    <w:rsid w:val="00EB2021"/>
    <w:rsid w:val="00EB245C"/>
    <w:rsid w:val="00EB31A9"/>
    <w:rsid w:val="00EB3989"/>
    <w:rsid w:val="00EB3E25"/>
    <w:rsid w:val="00EB4214"/>
    <w:rsid w:val="00EB48C9"/>
    <w:rsid w:val="00EB4977"/>
    <w:rsid w:val="00EB4E37"/>
    <w:rsid w:val="00EB4EC9"/>
    <w:rsid w:val="00EB6C5F"/>
    <w:rsid w:val="00EB6C7F"/>
    <w:rsid w:val="00EC0441"/>
    <w:rsid w:val="00EC0C0B"/>
    <w:rsid w:val="00EC0E02"/>
    <w:rsid w:val="00EC0F87"/>
    <w:rsid w:val="00EC235F"/>
    <w:rsid w:val="00EC2643"/>
    <w:rsid w:val="00EC4794"/>
    <w:rsid w:val="00EC6657"/>
    <w:rsid w:val="00EC6904"/>
    <w:rsid w:val="00EC7D40"/>
    <w:rsid w:val="00ED066B"/>
    <w:rsid w:val="00ED08DE"/>
    <w:rsid w:val="00ED0F43"/>
    <w:rsid w:val="00ED14AC"/>
    <w:rsid w:val="00ED18FD"/>
    <w:rsid w:val="00ED233C"/>
    <w:rsid w:val="00ED24FA"/>
    <w:rsid w:val="00ED26B8"/>
    <w:rsid w:val="00ED27AD"/>
    <w:rsid w:val="00ED2B0D"/>
    <w:rsid w:val="00ED2B67"/>
    <w:rsid w:val="00ED36E8"/>
    <w:rsid w:val="00ED479B"/>
    <w:rsid w:val="00ED479E"/>
    <w:rsid w:val="00ED576F"/>
    <w:rsid w:val="00ED647A"/>
    <w:rsid w:val="00ED7DD8"/>
    <w:rsid w:val="00EE0128"/>
    <w:rsid w:val="00EE049B"/>
    <w:rsid w:val="00EE04E2"/>
    <w:rsid w:val="00EE05B3"/>
    <w:rsid w:val="00EE0788"/>
    <w:rsid w:val="00EE09F8"/>
    <w:rsid w:val="00EE0BB0"/>
    <w:rsid w:val="00EE1FCF"/>
    <w:rsid w:val="00EE230B"/>
    <w:rsid w:val="00EE259A"/>
    <w:rsid w:val="00EE28D9"/>
    <w:rsid w:val="00EE2DF2"/>
    <w:rsid w:val="00EE30ED"/>
    <w:rsid w:val="00EE316E"/>
    <w:rsid w:val="00EE3961"/>
    <w:rsid w:val="00EE40C5"/>
    <w:rsid w:val="00EE41F9"/>
    <w:rsid w:val="00EE4626"/>
    <w:rsid w:val="00EE4703"/>
    <w:rsid w:val="00EE4C43"/>
    <w:rsid w:val="00EE60C4"/>
    <w:rsid w:val="00EE7D4D"/>
    <w:rsid w:val="00EE7F93"/>
    <w:rsid w:val="00EF0084"/>
    <w:rsid w:val="00EF101A"/>
    <w:rsid w:val="00EF14FA"/>
    <w:rsid w:val="00EF1EF5"/>
    <w:rsid w:val="00EF2410"/>
    <w:rsid w:val="00EF3499"/>
    <w:rsid w:val="00EF47A8"/>
    <w:rsid w:val="00EF5515"/>
    <w:rsid w:val="00EF5F41"/>
    <w:rsid w:val="00EF6CC8"/>
    <w:rsid w:val="00EF78B2"/>
    <w:rsid w:val="00EF7E2B"/>
    <w:rsid w:val="00F00367"/>
    <w:rsid w:val="00F006CE"/>
    <w:rsid w:val="00F00DD2"/>
    <w:rsid w:val="00F01693"/>
    <w:rsid w:val="00F02841"/>
    <w:rsid w:val="00F02867"/>
    <w:rsid w:val="00F03049"/>
    <w:rsid w:val="00F04F55"/>
    <w:rsid w:val="00F05129"/>
    <w:rsid w:val="00F059AD"/>
    <w:rsid w:val="00F0665B"/>
    <w:rsid w:val="00F06B9D"/>
    <w:rsid w:val="00F06EF0"/>
    <w:rsid w:val="00F0720A"/>
    <w:rsid w:val="00F103CE"/>
    <w:rsid w:val="00F1083F"/>
    <w:rsid w:val="00F10EE2"/>
    <w:rsid w:val="00F11158"/>
    <w:rsid w:val="00F113D9"/>
    <w:rsid w:val="00F11D8D"/>
    <w:rsid w:val="00F120A1"/>
    <w:rsid w:val="00F12210"/>
    <w:rsid w:val="00F1266D"/>
    <w:rsid w:val="00F12968"/>
    <w:rsid w:val="00F1300F"/>
    <w:rsid w:val="00F136F0"/>
    <w:rsid w:val="00F137F1"/>
    <w:rsid w:val="00F140B4"/>
    <w:rsid w:val="00F14607"/>
    <w:rsid w:val="00F14774"/>
    <w:rsid w:val="00F15777"/>
    <w:rsid w:val="00F1743F"/>
    <w:rsid w:val="00F176F9"/>
    <w:rsid w:val="00F17B25"/>
    <w:rsid w:val="00F17B57"/>
    <w:rsid w:val="00F203B7"/>
    <w:rsid w:val="00F209D1"/>
    <w:rsid w:val="00F21345"/>
    <w:rsid w:val="00F21352"/>
    <w:rsid w:val="00F21A81"/>
    <w:rsid w:val="00F22CB2"/>
    <w:rsid w:val="00F22DC7"/>
    <w:rsid w:val="00F22E10"/>
    <w:rsid w:val="00F230FB"/>
    <w:rsid w:val="00F240DA"/>
    <w:rsid w:val="00F24218"/>
    <w:rsid w:val="00F24D46"/>
    <w:rsid w:val="00F25150"/>
    <w:rsid w:val="00F261FE"/>
    <w:rsid w:val="00F265B5"/>
    <w:rsid w:val="00F2663B"/>
    <w:rsid w:val="00F266AB"/>
    <w:rsid w:val="00F268F0"/>
    <w:rsid w:val="00F26ABA"/>
    <w:rsid w:val="00F27582"/>
    <w:rsid w:val="00F2783E"/>
    <w:rsid w:val="00F27B7E"/>
    <w:rsid w:val="00F30292"/>
    <w:rsid w:val="00F3061B"/>
    <w:rsid w:val="00F316A9"/>
    <w:rsid w:val="00F31BCE"/>
    <w:rsid w:val="00F32187"/>
    <w:rsid w:val="00F3341E"/>
    <w:rsid w:val="00F340D3"/>
    <w:rsid w:val="00F34484"/>
    <w:rsid w:val="00F34FB7"/>
    <w:rsid w:val="00F35324"/>
    <w:rsid w:val="00F35635"/>
    <w:rsid w:val="00F35817"/>
    <w:rsid w:val="00F36152"/>
    <w:rsid w:val="00F36470"/>
    <w:rsid w:val="00F375EA"/>
    <w:rsid w:val="00F40542"/>
    <w:rsid w:val="00F407E6"/>
    <w:rsid w:val="00F408E7"/>
    <w:rsid w:val="00F40BEE"/>
    <w:rsid w:val="00F40CAC"/>
    <w:rsid w:val="00F40D13"/>
    <w:rsid w:val="00F40FB9"/>
    <w:rsid w:val="00F42030"/>
    <w:rsid w:val="00F4233A"/>
    <w:rsid w:val="00F42A7B"/>
    <w:rsid w:val="00F42D25"/>
    <w:rsid w:val="00F433E2"/>
    <w:rsid w:val="00F43518"/>
    <w:rsid w:val="00F435C2"/>
    <w:rsid w:val="00F43CC0"/>
    <w:rsid w:val="00F4455A"/>
    <w:rsid w:val="00F44789"/>
    <w:rsid w:val="00F45049"/>
    <w:rsid w:val="00F45BFB"/>
    <w:rsid w:val="00F466D9"/>
    <w:rsid w:val="00F46E31"/>
    <w:rsid w:val="00F46EB6"/>
    <w:rsid w:val="00F477F5"/>
    <w:rsid w:val="00F47A0B"/>
    <w:rsid w:val="00F505D8"/>
    <w:rsid w:val="00F50BE2"/>
    <w:rsid w:val="00F50C4F"/>
    <w:rsid w:val="00F50CC5"/>
    <w:rsid w:val="00F524B3"/>
    <w:rsid w:val="00F52B5A"/>
    <w:rsid w:val="00F53383"/>
    <w:rsid w:val="00F534CF"/>
    <w:rsid w:val="00F54504"/>
    <w:rsid w:val="00F54A9F"/>
    <w:rsid w:val="00F55B13"/>
    <w:rsid w:val="00F55C9C"/>
    <w:rsid w:val="00F55FCE"/>
    <w:rsid w:val="00F56341"/>
    <w:rsid w:val="00F56740"/>
    <w:rsid w:val="00F56F37"/>
    <w:rsid w:val="00F60056"/>
    <w:rsid w:val="00F6032B"/>
    <w:rsid w:val="00F60D5F"/>
    <w:rsid w:val="00F611CA"/>
    <w:rsid w:val="00F61980"/>
    <w:rsid w:val="00F61A34"/>
    <w:rsid w:val="00F61C3D"/>
    <w:rsid w:val="00F62AF1"/>
    <w:rsid w:val="00F62E2F"/>
    <w:rsid w:val="00F645ED"/>
    <w:rsid w:val="00F64F98"/>
    <w:rsid w:val="00F6536A"/>
    <w:rsid w:val="00F6565C"/>
    <w:rsid w:val="00F6591D"/>
    <w:rsid w:val="00F65AAF"/>
    <w:rsid w:val="00F65E86"/>
    <w:rsid w:val="00F66F97"/>
    <w:rsid w:val="00F70271"/>
    <w:rsid w:val="00F704C7"/>
    <w:rsid w:val="00F70CD0"/>
    <w:rsid w:val="00F711AC"/>
    <w:rsid w:val="00F71318"/>
    <w:rsid w:val="00F7190B"/>
    <w:rsid w:val="00F722FF"/>
    <w:rsid w:val="00F73AE9"/>
    <w:rsid w:val="00F73F5E"/>
    <w:rsid w:val="00F747FA"/>
    <w:rsid w:val="00F74C7E"/>
    <w:rsid w:val="00F74F8F"/>
    <w:rsid w:val="00F750DC"/>
    <w:rsid w:val="00F75AB9"/>
    <w:rsid w:val="00F769C6"/>
    <w:rsid w:val="00F771AA"/>
    <w:rsid w:val="00F772E9"/>
    <w:rsid w:val="00F77C52"/>
    <w:rsid w:val="00F8025C"/>
    <w:rsid w:val="00F80C4F"/>
    <w:rsid w:val="00F81D86"/>
    <w:rsid w:val="00F827DD"/>
    <w:rsid w:val="00F82F6D"/>
    <w:rsid w:val="00F83370"/>
    <w:rsid w:val="00F83E52"/>
    <w:rsid w:val="00F83EC7"/>
    <w:rsid w:val="00F84048"/>
    <w:rsid w:val="00F844FB"/>
    <w:rsid w:val="00F84BDD"/>
    <w:rsid w:val="00F852BE"/>
    <w:rsid w:val="00F85603"/>
    <w:rsid w:val="00F85ABB"/>
    <w:rsid w:val="00F85B23"/>
    <w:rsid w:val="00F85C40"/>
    <w:rsid w:val="00F85F8A"/>
    <w:rsid w:val="00F866A9"/>
    <w:rsid w:val="00F86B22"/>
    <w:rsid w:val="00F86B3E"/>
    <w:rsid w:val="00F87A6C"/>
    <w:rsid w:val="00F87C9D"/>
    <w:rsid w:val="00F90219"/>
    <w:rsid w:val="00F90B2D"/>
    <w:rsid w:val="00F90DD6"/>
    <w:rsid w:val="00F91514"/>
    <w:rsid w:val="00F92443"/>
    <w:rsid w:val="00F9272F"/>
    <w:rsid w:val="00F92E44"/>
    <w:rsid w:val="00F9351C"/>
    <w:rsid w:val="00F937D6"/>
    <w:rsid w:val="00F93936"/>
    <w:rsid w:val="00F93CDE"/>
    <w:rsid w:val="00F95560"/>
    <w:rsid w:val="00F9563F"/>
    <w:rsid w:val="00F956D1"/>
    <w:rsid w:val="00F95706"/>
    <w:rsid w:val="00F95996"/>
    <w:rsid w:val="00F9638A"/>
    <w:rsid w:val="00F97B80"/>
    <w:rsid w:val="00F97D6D"/>
    <w:rsid w:val="00FA09FF"/>
    <w:rsid w:val="00FA0AB0"/>
    <w:rsid w:val="00FA0B18"/>
    <w:rsid w:val="00FA0E76"/>
    <w:rsid w:val="00FA1995"/>
    <w:rsid w:val="00FA1DED"/>
    <w:rsid w:val="00FA1EA7"/>
    <w:rsid w:val="00FA26AF"/>
    <w:rsid w:val="00FA28BE"/>
    <w:rsid w:val="00FA28FC"/>
    <w:rsid w:val="00FA2B50"/>
    <w:rsid w:val="00FA338E"/>
    <w:rsid w:val="00FA37BB"/>
    <w:rsid w:val="00FA3863"/>
    <w:rsid w:val="00FA3CEF"/>
    <w:rsid w:val="00FA3D14"/>
    <w:rsid w:val="00FA4322"/>
    <w:rsid w:val="00FA4B4D"/>
    <w:rsid w:val="00FA5194"/>
    <w:rsid w:val="00FA5E75"/>
    <w:rsid w:val="00FA6625"/>
    <w:rsid w:val="00FB0724"/>
    <w:rsid w:val="00FB185C"/>
    <w:rsid w:val="00FB1864"/>
    <w:rsid w:val="00FB1C44"/>
    <w:rsid w:val="00FB24D7"/>
    <w:rsid w:val="00FB2867"/>
    <w:rsid w:val="00FB3AFB"/>
    <w:rsid w:val="00FB3C8F"/>
    <w:rsid w:val="00FB4B47"/>
    <w:rsid w:val="00FB4E0A"/>
    <w:rsid w:val="00FB4E2C"/>
    <w:rsid w:val="00FB5230"/>
    <w:rsid w:val="00FB53E4"/>
    <w:rsid w:val="00FB6457"/>
    <w:rsid w:val="00FB6953"/>
    <w:rsid w:val="00FB749F"/>
    <w:rsid w:val="00FB7DC8"/>
    <w:rsid w:val="00FC2770"/>
    <w:rsid w:val="00FC2A4B"/>
    <w:rsid w:val="00FC3F26"/>
    <w:rsid w:val="00FC5449"/>
    <w:rsid w:val="00FC5D0A"/>
    <w:rsid w:val="00FC64D9"/>
    <w:rsid w:val="00FC660E"/>
    <w:rsid w:val="00FC6EF1"/>
    <w:rsid w:val="00FC7778"/>
    <w:rsid w:val="00FC782A"/>
    <w:rsid w:val="00FD05E4"/>
    <w:rsid w:val="00FD0AC3"/>
    <w:rsid w:val="00FD1468"/>
    <w:rsid w:val="00FD1B64"/>
    <w:rsid w:val="00FD1D46"/>
    <w:rsid w:val="00FD1D8F"/>
    <w:rsid w:val="00FD20F1"/>
    <w:rsid w:val="00FD2337"/>
    <w:rsid w:val="00FD26F3"/>
    <w:rsid w:val="00FD3396"/>
    <w:rsid w:val="00FD4ACE"/>
    <w:rsid w:val="00FD4BF5"/>
    <w:rsid w:val="00FD4D8F"/>
    <w:rsid w:val="00FD527C"/>
    <w:rsid w:val="00FD52EA"/>
    <w:rsid w:val="00FD5867"/>
    <w:rsid w:val="00FD6571"/>
    <w:rsid w:val="00FD6576"/>
    <w:rsid w:val="00FD7679"/>
    <w:rsid w:val="00FD7A0D"/>
    <w:rsid w:val="00FD7FF5"/>
    <w:rsid w:val="00FE0075"/>
    <w:rsid w:val="00FE01FD"/>
    <w:rsid w:val="00FE0653"/>
    <w:rsid w:val="00FE1034"/>
    <w:rsid w:val="00FE16FB"/>
    <w:rsid w:val="00FE190C"/>
    <w:rsid w:val="00FE1BF0"/>
    <w:rsid w:val="00FE1C52"/>
    <w:rsid w:val="00FE2520"/>
    <w:rsid w:val="00FE257D"/>
    <w:rsid w:val="00FE2C99"/>
    <w:rsid w:val="00FE332B"/>
    <w:rsid w:val="00FE39E7"/>
    <w:rsid w:val="00FE3ECC"/>
    <w:rsid w:val="00FE4C1C"/>
    <w:rsid w:val="00FE4C1D"/>
    <w:rsid w:val="00FE567F"/>
    <w:rsid w:val="00FE5775"/>
    <w:rsid w:val="00FE591A"/>
    <w:rsid w:val="00FE6058"/>
    <w:rsid w:val="00FE6A7B"/>
    <w:rsid w:val="00FE70C2"/>
    <w:rsid w:val="00FE71DC"/>
    <w:rsid w:val="00FF0ABC"/>
    <w:rsid w:val="00FF0B63"/>
    <w:rsid w:val="00FF24C5"/>
    <w:rsid w:val="00FF3946"/>
    <w:rsid w:val="00FF44A7"/>
    <w:rsid w:val="00FF4725"/>
    <w:rsid w:val="00FF4AAA"/>
    <w:rsid w:val="00FF4E1F"/>
    <w:rsid w:val="00FF4EF6"/>
    <w:rsid w:val="00FF5E32"/>
    <w:rsid w:val="00FF61A1"/>
    <w:rsid w:val="00FF6941"/>
    <w:rsid w:val="00FF6BA1"/>
    <w:rsid w:val="00FF74E8"/>
    <w:rsid w:val="00FF79EF"/>
    <w:rsid w:val="00FF7C3F"/>
    <w:rsid w:val="00FF7F1E"/>
    <w:rsid w:val="00FF7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7D1A6"/>
  <w15:docId w15:val="{0851ACFC-07FA-4997-8894-45446536B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65FCC"/>
    <w:pPr>
      <w:widowControl w:val="0"/>
      <w:autoSpaceDE w:val="0"/>
      <w:autoSpaceDN w:val="0"/>
      <w:spacing w:after="240" w:line="240" w:lineRule="atLeast"/>
    </w:pPr>
    <w:rPr>
      <w:rFonts w:eastAsia="Verdana" w:cs="Verdana"/>
      <w:sz w:val="22"/>
      <w:szCs w:val="22"/>
    </w:rPr>
  </w:style>
  <w:style w:type="paragraph" w:styleId="Heading1">
    <w:name w:val="heading 1"/>
    <w:basedOn w:val="Normal"/>
    <w:link w:val="Heading1Char"/>
    <w:uiPriority w:val="1"/>
    <w:qFormat/>
    <w:rsid w:val="00CB311A"/>
    <w:pPr>
      <w:ind w:left="120"/>
      <w:outlineLvl w:val="0"/>
    </w:pPr>
    <w:rPr>
      <w:b/>
      <w:bCs/>
      <w:sz w:val="36"/>
      <w:szCs w:val="36"/>
    </w:rPr>
  </w:style>
  <w:style w:type="paragraph" w:styleId="Heading2">
    <w:name w:val="heading 2"/>
    <w:basedOn w:val="Normal"/>
    <w:link w:val="Heading2Char"/>
    <w:uiPriority w:val="1"/>
    <w:qFormat/>
    <w:rsid w:val="00CB311A"/>
    <w:pPr>
      <w:ind w:left="100"/>
      <w:outlineLvl w:val="1"/>
    </w:pPr>
    <w:rPr>
      <w:sz w:val="32"/>
      <w:szCs w:val="32"/>
    </w:rPr>
  </w:style>
  <w:style w:type="paragraph" w:styleId="Heading3">
    <w:name w:val="heading 3"/>
    <w:basedOn w:val="Normal"/>
    <w:link w:val="Heading3Char"/>
    <w:uiPriority w:val="1"/>
    <w:qFormat/>
    <w:rsid w:val="00CB311A"/>
    <w:pPr>
      <w:ind w:left="120"/>
      <w:outlineLvl w:val="2"/>
    </w:pPr>
    <w:rPr>
      <w:b/>
      <w:bCs/>
      <w:szCs w:val="18"/>
    </w:rPr>
  </w:style>
  <w:style w:type="paragraph" w:styleId="Heading4">
    <w:name w:val="heading 4"/>
    <w:basedOn w:val="Normal"/>
    <w:next w:val="Normal"/>
    <w:link w:val="Heading4Char"/>
    <w:uiPriority w:val="9"/>
    <w:semiHidden/>
    <w:unhideWhenUsed/>
    <w:qFormat/>
    <w:rsid w:val="00CB311A"/>
    <w:pPr>
      <w:keepNext/>
      <w:keepLines/>
      <w:spacing w:before="40"/>
      <w:outlineLvl w:val="3"/>
    </w:pPr>
    <w:rPr>
      <w:rFonts w:asciiTheme="majorHAnsi" w:eastAsiaTheme="majorEastAsia" w:hAnsiTheme="majorHAnsi" w:cstheme="majorBidi"/>
      <w:i/>
      <w:iCs/>
      <w:color w:val="638C1B" w:themeColor="accent1" w:themeShade="BF"/>
    </w:rPr>
  </w:style>
  <w:style w:type="paragraph" w:styleId="Heading5">
    <w:name w:val="heading 5"/>
    <w:basedOn w:val="Normal"/>
    <w:next w:val="Normal"/>
    <w:link w:val="Heading5Char"/>
    <w:uiPriority w:val="9"/>
    <w:semiHidden/>
    <w:unhideWhenUsed/>
    <w:qFormat/>
    <w:rsid w:val="00CB311A"/>
    <w:pPr>
      <w:keepNext/>
      <w:keepLines/>
      <w:spacing w:before="40"/>
      <w:outlineLvl w:val="4"/>
    </w:pPr>
    <w:rPr>
      <w:rFonts w:asciiTheme="majorHAnsi" w:eastAsiaTheme="majorEastAsia" w:hAnsiTheme="majorHAnsi" w:cstheme="majorBidi"/>
      <w:color w:val="638C1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5B3AB8"/>
    <w:pPr>
      <w:spacing w:before="120" w:after="120" w:line="200" w:lineRule="atLeast"/>
      <w:ind w:left="360" w:hanging="360"/>
    </w:pPr>
    <w:rPr>
      <w:sz w:val="16"/>
      <w:szCs w:val="20"/>
      <w:lang w:val="x-none" w:eastAsia="x-none"/>
    </w:rPr>
  </w:style>
  <w:style w:type="character" w:customStyle="1" w:styleId="FootnoteTextChar">
    <w:name w:val="Footnote Text Char"/>
    <w:link w:val="FootnoteText"/>
    <w:uiPriority w:val="99"/>
    <w:rsid w:val="005B3AB8"/>
    <w:rPr>
      <w:rFonts w:eastAsia="Verdana" w:cs="Verdana"/>
      <w:sz w:val="16"/>
      <w:lang w:val="x-none" w:eastAsia="x-none"/>
    </w:rPr>
  </w:style>
  <w:style w:type="character" w:styleId="FootnoteReference">
    <w:name w:val="footnote reference"/>
    <w:rsid w:val="00C612CD"/>
    <w:rPr>
      <w:vertAlign w:val="superscript"/>
    </w:rPr>
  </w:style>
  <w:style w:type="character" w:customStyle="1" w:styleId="documentlip1">
    <w:name w:val="document_li_p1"/>
    <w:basedOn w:val="pdocumentul1"/>
    <w:rsid w:val="0000482D"/>
    <w:rPr>
      <w:rFonts w:ascii="Calibri" w:hAnsi="Calibri" w:cs="Arial"/>
      <w:color w:val="000000" w:themeColor="text1"/>
      <w:sz w:val="22"/>
      <w:szCs w:val="18"/>
    </w:rPr>
  </w:style>
  <w:style w:type="character" w:customStyle="1" w:styleId="pdocumentul1">
    <w:name w:val="p_document_ul1"/>
    <w:basedOn w:val="DefaultParagraphFont"/>
    <w:rsid w:val="00765FCC"/>
    <w:rPr>
      <w:color w:val="000000" w:themeColor="text1"/>
    </w:rPr>
  </w:style>
  <w:style w:type="character" w:styleId="CommentReference">
    <w:name w:val="annotation reference"/>
    <w:basedOn w:val="DefaultParagraphFont"/>
    <w:uiPriority w:val="99"/>
    <w:semiHidden/>
    <w:unhideWhenUsed/>
    <w:rsid w:val="00CB311A"/>
    <w:rPr>
      <w:sz w:val="16"/>
      <w:szCs w:val="16"/>
    </w:rPr>
  </w:style>
  <w:style w:type="paragraph" w:styleId="CommentText">
    <w:name w:val="annotation text"/>
    <w:basedOn w:val="Normal"/>
    <w:link w:val="CommentTextChar"/>
    <w:uiPriority w:val="99"/>
    <w:unhideWhenUsed/>
    <w:rsid w:val="00CB311A"/>
    <w:rPr>
      <w:sz w:val="20"/>
      <w:szCs w:val="20"/>
    </w:rPr>
  </w:style>
  <w:style w:type="character" w:customStyle="1" w:styleId="CommentTextChar">
    <w:name w:val="Comment Text Char"/>
    <w:basedOn w:val="DefaultParagraphFont"/>
    <w:link w:val="CommentText"/>
    <w:uiPriority w:val="99"/>
    <w:rsid w:val="00CB311A"/>
    <w:rPr>
      <w:rFonts w:ascii="Verdana" w:eastAsia="Verdana" w:hAnsi="Verdana" w:cs="Verdana"/>
    </w:rPr>
  </w:style>
  <w:style w:type="paragraph" w:styleId="CommentSubject">
    <w:name w:val="annotation subject"/>
    <w:basedOn w:val="CommentText"/>
    <w:next w:val="CommentText"/>
    <w:link w:val="CommentSubjectChar"/>
    <w:uiPriority w:val="99"/>
    <w:semiHidden/>
    <w:unhideWhenUsed/>
    <w:rsid w:val="00CB311A"/>
    <w:rPr>
      <w:b/>
      <w:bCs/>
    </w:rPr>
  </w:style>
  <w:style w:type="character" w:customStyle="1" w:styleId="CommentSubjectChar">
    <w:name w:val="Comment Subject Char"/>
    <w:basedOn w:val="CommentTextChar"/>
    <w:link w:val="CommentSubject"/>
    <w:uiPriority w:val="99"/>
    <w:semiHidden/>
    <w:rsid w:val="00CB311A"/>
    <w:rPr>
      <w:rFonts w:ascii="Verdana" w:eastAsia="Verdana" w:hAnsi="Verdana" w:cs="Verdana"/>
      <w:b/>
      <w:bCs/>
    </w:rPr>
  </w:style>
  <w:style w:type="paragraph" w:styleId="BalloonText">
    <w:name w:val="Balloon Text"/>
    <w:basedOn w:val="Normal"/>
    <w:link w:val="BalloonTextChar"/>
    <w:uiPriority w:val="99"/>
    <w:semiHidden/>
    <w:unhideWhenUsed/>
    <w:rsid w:val="00CB311A"/>
    <w:rPr>
      <w:rFonts w:ascii="Segoe UI" w:hAnsi="Segoe UI" w:cs="Segoe UI"/>
      <w:szCs w:val="18"/>
    </w:rPr>
  </w:style>
  <w:style w:type="character" w:customStyle="1" w:styleId="BalloonTextChar">
    <w:name w:val="Balloon Text Char"/>
    <w:basedOn w:val="DefaultParagraphFont"/>
    <w:link w:val="BalloonText"/>
    <w:uiPriority w:val="99"/>
    <w:semiHidden/>
    <w:rsid w:val="00CB311A"/>
    <w:rPr>
      <w:rFonts w:ascii="Segoe UI" w:eastAsia="Verdana" w:hAnsi="Segoe UI" w:cs="Segoe UI"/>
      <w:sz w:val="18"/>
      <w:szCs w:val="18"/>
    </w:rPr>
  </w:style>
  <w:style w:type="paragraph" w:styleId="ListParagraph">
    <w:name w:val="List Paragraph"/>
    <w:basedOn w:val="Normal"/>
    <w:uiPriority w:val="34"/>
    <w:qFormat/>
    <w:rsid w:val="005B6B38"/>
    <w:pPr>
      <w:numPr>
        <w:numId w:val="11"/>
      </w:numPr>
      <w:contextualSpacing/>
    </w:pPr>
    <w:rPr>
      <w:rFonts w:ascii="Calibri Light" w:hAnsi="Calibri Light" w:cs="Calibri Light"/>
    </w:rPr>
  </w:style>
  <w:style w:type="paragraph" w:styleId="NormalWeb">
    <w:name w:val="Normal (Web)"/>
    <w:basedOn w:val="Normal"/>
    <w:uiPriority w:val="99"/>
    <w:rsid w:val="00A50EA1"/>
    <w:pPr>
      <w:spacing w:before="100" w:beforeAutospacing="1" w:after="100" w:afterAutospacing="1"/>
    </w:pPr>
    <w:rPr>
      <w:rFonts w:ascii="Arial Unicode MS" w:eastAsia="Arial Unicode MS" w:hAnsi="Arial Unicode MS" w:cs="Arial Unicode MS"/>
    </w:rPr>
  </w:style>
  <w:style w:type="paragraph" w:styleId="Revision">
    <w:name w:val="Revision"/>
    <w:hidden/>
    <w:uiPriority w:val="99"/>
    <w:semiHidden/>
    <w:rsid w:val="006578CB"/>
    <w:rPr>
      <w:rFonts w:ascii="Times New Roman" w:eastAsia="Times New Roman" w:hAnsi="Times New Roman"/>
      <w:color w:val="000000"/>
      <w:sz w:val="24"/>
      <w:szCs w:val="24"/>
    </w:rPr>
  </w:style>
  <w:style w:type="paragraph" w:styleId="Header">
    <w:name w:val="header"/>
    <w:basedOn w:val="Normal"/>
    <w:link w:val="HeaderChar"/>
    <w:uiPriority w:val="99"/>
    <w:unhideWhenUsed/>
    <w:rsid w:val="00CB311A"/>
    <w:pPr>
      <w:tabs>
        <w:tab w:val="center" w:pos="4680"/>
        <w:tab w:val="right" w:pos="9360"/>
      </w:tabs>
    </w:pPr>
  </w:style>
  <w:style w:type="character" w:customStyle="1" w:styleId="HeaderChar">
    <w:name w:val="Header Char"/>
    <w:basedOn w:val="DefaultParagraphFont"/>
    <w:link w:val="Header"/>
    <w:uiPriority w:val="99"/>
    <w:rsid w:val="00CB311A"/>
    <w:rPr>
      <w:rFonts w:ascii="Verdana" w:eastAsia="Verdana" w:hAnsi="Verdana" w:cs="Verdana"/>
      <w:sz w:val="22"/>
      <w:szCs w:val="22"/>
    </w:rPr>
  </w:style>
  <w:style w:type="paragraph" w:styleId="Footer">
    <w:name w:val="footer"/>
    <w:basedOn w:val="Normal"/>
    <w:link w:val="FooterChar"/>
    <w:uiPriority w:val="99"/>
    <w:unhideWhenUsed/>
    <w:rsid w:val="00CB311A"/>
    <w:pPr>
      <w:tabs>
        <w:tab w:val="center" w:pos="4680"/>
        <w:tab w:val="right" w:pos="9360"/>
      </w:tabs>
    </w:pPr>
  </w:style>
  <w:style w:type="character" w:customStyle="1" w:styleId="FooterChar">
    <w:name w:val="Footer Char"/>
    <w:basedOn w:val="DefaultParagraphFont"/>
    <w:link w:val="Footer"/>
    <w:uiPriority w:val="99"/>
    <w:rsid w:val="00CB311A"/>
    <w:rPr>
      <w:rFonts w:ascii="Verdana" w:eastAsia="Verdana" w:hAnsi="Verdana" w:cs="Verdana"/>
      <w:sz w:val="22"/>
      <w:szCs w:val="22"/>
    </w:rPr>
  </w:style>
  <w:style w:type="character" w:styleId="Hyperlink">
    <w:name w:val="Hyperlink"/>
    <w:aliases w:val="Deloitte Hyperlink"/>
    <w:uiPriority w:val="99"/>
    <w:unhideWhenUsed/>
    <w:qFormat/>
    <w:rsid w:val="00765FCC"/>
    <w:rPr>
      <w:rFonts w:ascii="Calibri" w:eastAsiaTheme="minorHAnsi" w:hAnsi="Calibri" w:cs="Arial"/>
      <w:color w:val="62B5E5"/>
      <w:u w:val="single"/>
    </w:rPr>
  </w:style>
  <w:style w:type="paragraph" w:customStyle="1" w:styleId="Pa18">
    <w:name w:val="Pa18"/>
    <w:basedOn w:val="Normal"/>
    <w:uiPriority w:val="99"/>
    <w:rsid w:val="000D3BD1"/>
    <w:pPr>
      <w:spacing w:line="141" w:lineRule="atLeast"/>
    </w:pPr>
    <w:rPr>
      <w:rFonts w:ascii="Frutiger Next Pro Light" w:eastAsia="Calibri" w:hAnsi="Frutiger Next Pro Light"/>
    </w:rPr>
  </w:style>
  <w:style w:type="character" w:styleId="FollowedHyperlink">
    <w:name w:val="FollowedHyperlink"/>
    <w:uiPriority w:val="99"/>
    <w:semiHidden/>
    <w:unhideWhenUsed/>
    <w:rsid w:val="00765FCC"/>
    <w:rPr>
      <w:rFonts w:ascii="Calibri" w:hAnsi="Calibri"/>
      <w:color w:val="75787B" w:themeColor="accent6"/>
      <w:u w:val="single"/>
    </w:rPr>
  </w:style>
  <w:style w:type="table" w:styleId="TableGrid">
    <w:name w:val="Table Grid"/>
    <w:basedOn w:val="TableNormal"/>
    <w:uiPriority w:val="59"/>
    <w:rsid w:val="00EE259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206B"/>
    <w:pPr>
      <w:autoSpaceDE w:val="0"/>
      <w:autoSpaceDN w:val="0"/>
      <w:adjustRightInd w:val="0"/>
    </w:pPr>
    <w:rPr>
      <w:rFonts w:ascii="Arial" w:eastAsia="Times New Roman" w:hAnsi="Arial" w:cs="Arial"/>
      <w:color w:val="000000"/>
      <w:sz w:val="24"/>
      <w:szCs w:val="24"/>
    </w:rPr>
  </w:style>
  <w:style w:type="paragraph" w:customStyle="1" w:styleId="olli">
    <w:name w:val="ol_li"/>
    <w:basedOn w:val="Normal"/>
    <w:rsid w:val="00883A7B"/>
    <w:pPr>
      <w:spacing w:before="240"/>
      <w:ind w:left="600"/>
    </w:pPr>
    <w:rPr>
      <w:rFonts w:ascii="Arial" w:hAnsi="Arial" w:cs="Arial"/>
      <w:sz w:val="20"/>
      <w:szCs w:val="20"/>
    </w:rPr>
  </w:style>
  <w:style w:type="paragraph" w:styleId="NoSpacing">
    <w:name w:val="No Spacing"/>
    <w:uiPriority w:val="1"/>
    <w:qFormat/>
    <w:rsid w:val="008C7279"/>
    <w:rPr>
      <w:rFonts w:eastAsia="Times New Roman"/>
      <w:sz w:val="22"/>
      <w:szCs w:val="22"/>
    </w:rPr>
  </w:style>
  <w:style w:type="character" w:customStyle="1" w:styleId="u1">
    <w:name w:val="u1"/>
    <w:rsid w:val="00501584"/>
    <w:rPr>
      <w:u w:val="single"/>
    </w:rPr>
  </w:style>
  <w:style w:type="paragraph" w:customStyle="1" w:styleId="tabletext">
    <w:name w:val="tabletext"/>
    <w:basedOn w:val="Normal"/>
    <w:rsid w:val="00EC235F"/>
    <w:pPr>
      <w:spacing w:before="100" w:beforeAutospacing="1" w:after="100" w:afterAutospacing="1"/>
    </w:pPr>
    <w:rPr>
      <w:rFonts w:ascii="Arial" w:hAnsi="Arial" w:cs="Arial"/>
      <w:szCs w:val="18"/>
    </w:rPr>
  </w:style>
  <w:style w:type="paragraph" w:customStyle="1" w:styleId="xref-3rdparty">
    <w:name w:val="xref-3rdparty"/>
    <w:basedOn w:val="Normal"/>
    <w:rsid w:val="00B70012"/>
    <w:pPr>
      <w:spacing w:before="240"/>
      <w:ind w:left="240"/>
    </w:pPr>
    <w:rPr>
      <w:rFonts w:ascii="Arial" w:hAnsi="Arial" w:cs="Arial"/>
      <w:color w:val="000080"/>
      <w:sz w:val="29"/>
      <w:szCs w:val="29"/>
      <w:u w:val="single"/>
    </w:rPr>
  </w:style>
  <w:style w:type="paragraph" w:styleId="PlainText">
    <w:name w:val="Plain Text"/>
    <w:basedOn w:val="Normal"/>
    <w:link w:val="PlainTextChar"/>
    <w:uiPriority w:val="99"/>
    <w:semiHidden/>
    <w:unhideWhenUsed/>
    <w:rsid w:val="00D87726"/>
    <w:rPr>
      <w:rFonts w:eastAsiaTheme="minorHAnsi"/>
    </w:rPr>
  </w:style>
  <w:style w:type="character" w:customStyle="1" w:styleId="PlainTextChar">
    <w:name w:val="Plain Text Char"/>
    <w:basedOn w:val="DefaultParagraphFont"/>
    <w:link w:val="PlainText"/>
    <w:uiPriority w:val="99"/>
    <w:semiHidden/>
    <w:rsid w:val="00D87726"/>
    <w:rPr>
      <w:rFonts w:eastAsiaTheme="minorHAnsi"/>
      <w:sz w:val="22"/>
      <w:szCs w:val="22"/>
    </w:rPr>
  </w:style>
  <w:style w:type="character" w:styleId="Emphasis">
    <w:name w:val="Emphasis"/>
    <w:basedOn w:val="DefaultParagraphFont"/>
    <w:uiPriority w:val="20"/>
    <w:qFormat/>
    <w:rsid w:val="004D1756"/>
    <w:rPr>
      <w:i/>
      <w:iCs/>
    </w:rPr>
  </w:style>
  <w:style w:type="paragraph" w:styleId="BodyText">
    <w:name w:val="Body Text"/>
    <w:basedOn w:val="Normal"/>
    <w:link w:val="BodyTextChar"/>
    <w:uiPriority w:val="99"/>
    <w:semiHidden/>
    <w:unhideWhenUsed/>
    <w:rsid w:val="00F24D46"/>
    <w:pPr>
      <w:spacing w:after="120"/>
    </w:pPr>
    <w:rPr>
      <w:rFonts w:eastAsiaTheme="minorEastAsia"/>
    </w:rPr>
  </w:style>
  <w:style w:type="character" w:customStyle="1" w:styleId="BodyTextChar">
    <w:name w:val="Body Text Char"/>
    <w:basedOn w:val="DefaultParagraphFont"/>
    <w:link w:val="BodyText"/>
    <w:uiPriority w:val="99"/>
    <w:semiHidden/>
    <w:rsid w:val="00F24D46"/>
    <w:rPr>
      <w:rFonts w:ascii="Times New Roman" w:eastAsiaTheme="minorEastAsia" w:hAnsi="Times New Roman"/>
      <w:sz w:val="24"/>
      <w:szCs w:val="24"/>
    </w:rPr>
  </w:style>
  <w:style w:type="paragraph" w:customStyle="1" w:styleId="Legaltext">
    <w:name w:val="Legal text"/>
    <w:basedOn w:val="Normal"/>
    <w:qFormat/>
    <w:rsid w:val="00E668C3"/>
    <w:pPr>
      <w:spacing w:line="180" w:lineRule="atLeast"/>
      <w:ind w:right="5387"/>
    </w:pPr>
    <w:rPr>
      <w:rFonts w:asciiTheme="minorHAnsi" w:eastAsiaTheme="minorHAnsi" w:hAnsiTheme="minorHAnsi" w:cstheme="minorBidi"/>
      <w:sz w:val="14"/>
      <w:lang w:val="en-GB"/>
    </w:rPr>
  </w:style>
  <w:style w:type="paragraph" w:customStyle="1" w:styleId="Paneltitle">
    <w:name w:val="Panel title"/>
    <w:basedOn w:val="Normal"/>
    <w:next w:val="Normal"/>
    <w:qFormat/>
    <w:rsid w:val="000E7C6E"/>
    <w:pPr>
      <w:spacing w:line="360" w:lineRule="atLeast"/>
    </w:pPr>
    <w:rPr>
      <w:b/>
      <w:color w:val="FFFFFF"/>
      <w:sz w:val="28"/>
    </w:rPr>
  </w:style>
  <w:style w:type="paragraph" w:customStyle="1" w:styleId="DBOLDLINK">
    <w:name w:val="D_BOLD_LINK"/>
    <w:basedOn w:val="Normal"/>
    <w:rsid w:val="0039690E"/>
    <w:pPr>
      <w:spacing w:before="240"/>
    </w:pPr>
    <w:rPr>
      <w:b/>
      <w:color w:val="00A3E0"/>
      <w:szCs w:val="18"/>
    </w:rPr>
  </w:style>
  <w:style w:type="paragraph" w:customStyle="1" w:styleId="PAH1">
    <w:name w:val="PA H1"/>
    <w:basedOn w:val="Normal"/>
    <w:uiPriority w:val="1"/>
    <w:qFormat/>
    <w:rsid w:val="00E44BAC"/>
    <w:pPr>
      <w:keepNext/>
      <w:autoSpaceDE/>
      <w:autoSpaceDN/>
      <w:spacing w:before="240"/>
      <w:outlineLvl w:val="0"/>
    </w:pPr>
    <w:rPr>
      <w:rFonts w:eastAsiaTheme="minorHAnsi" w:cstheme="minorBidi"/>
      <w:sz w:val="32"/>
    </w:rPr>
  </w:style>
  <w:style w:type="paragraph" w:customStyle="1" w:styleId="DeloitteHeaderFooter">
    <w:name w:val="Deloitte_Header_Footer"/>
    <w:basedOn w:val="Normal"/>
    <w:link w:val="DeloitteHeaderFooterChar"/>
    <w:qFormat/>
    <w:rsid w:val="00CB311A"/>
    <w:pPr>
      <w:widowControl/>
      <w:tabs>
        <w:tab w:val="center" w:pos="4680"/>
        <w:tab w:val="right" w:pos="9360"/>
      </w:tabs>
      <w:autoSpaceDE/>
      <w:autoSpaceDN/>
      <w:spacing w:before="120" w:after="120"/>
    </w:pPr>
    <w:rPr>
      <w:rFonts w:eastAsia="Times New Roman" w:cstheme="minorBidi"/>
      <w:noProof/>
      <w:sz w:val="16"/>
    </w:rPr>
  </w:style>
  <w:style w:type="character" w:customStyle="1" w:styleId="DeloitteHeaderFooterChar">
    <w:name w:val="Deloitte_Header_Footer Char"/>
    <w:basedOn w:val="DefaultParagraphFont"/>
    <w:link w:val="DeloitteHeaderFooter"/>
    <w:rsid w:val="00CB311A"/>
    <w:rPr>
      <w:rFonts w:ascii="Verdana" w:eastAsia="Times New Roman" w:hAnsi="Verdana" w:cstheme="minorBidi"/>
      <w:noProof/>
      <w:sz w:val="16"/>
      <w:szCs w:val="22"/>
    </w:rPr>
  </w:style>
  <w:style w:type="character" w:styleId="EndnoteReference">
    <w:name w:val="endnote reference"/>
    <w:basedOn w:val="DefaultParagraphFont"/>
    <w:rsid w:val="00CB311A"/>
    <w:rPr>
      <w:vertAlign w:val="superscript"/>
    </w:rPr>
  </w:style>
  <w:style w:type="paragraph" w:styleId="EndnoteText">
    <w:name w:val="endnote text"/>
    <w:basedOn w:val="Normal"/>
    <w:link w:val="EndnoteTextChar"/>
    <w:rsid w:val="00CB311A"/>
    <w:pPr>
      <w:widowControl/>
      <w:autoSpaceDE/>
      <w:autoSpaceDN/>
      <w:spacing w:before="120" w:after="120"/>
    </w:pPr>
    <w:rPr>
      <w:rFonts w:eastAsia="Times New Roman" w:cstheme="minorBidi"/>
      <w:sz w:val="20"/>
      <w:szCs w:val="20"/>
    </w:rPr>
  </w:style>
  <w:style w:type="character" w:customStyle="1" w:styleId="EndnoteTextChar">
    <w:name w:val="Endnote Text Char"/>
    <w:basedOn w:val="DefaultParagraphFont"/>
    <w:link w:val="EndnoteText"/>
    <w:rsid w:val="00CB311A"/>
    <w:rPr>
      <w:rFonts w:ascii="Verdana" w:eastAsia="Times New Roman" w:hAnsi="Verdana" w:cstheme="minorBidi"/>
    </w:rPr>
  </w:style>
  <w:style w:type="character" w:customStyle="1" w:styleId="Heading1Char">
    <w:name w:val="Heading 1 Char"/>
    <w:basedOn w:val="DefaultParagraphFont"/>
    <w:link w:val="Heading1"/>
    <w:uiPriority w:val="1"/>
    <w:rsid w:val="00CB311A"/>
    <w:rPr>
      <w:rFonts w:ascii="Verdana" w:eastAsia="Verdana" w:hAnsi="Verdana" w:cs="Verdana"/>
      <w:b/>
      <w:bCs/>
      <w:sz w:val="36"/>
      <w:szCs w:val="36"/>
    </w:rPr>
  </w:style>
  <w:style w:type="character" w:customStyle="1" w:styleId="Heading2Char">
    <w:name w:val="Heading 2 Char"/>
    <w:basedOn w:val="DefaultParagraphFont"/>
    <w:link w:val="Heading2"/>
    <w:uiPriority w:val="1"/>
    <w:rsid w:val="00CB311A"/>
    <w:rPr>
      <w:rFonts w:ascii="Verdana" w:eastAsia="Verdana" w:hAnsi="Verdana" w:cs="Verdana"/>
      <w:sz w:val="32"/>
      <w:szCs w:val="32"/>
    </w:rPr>
  </w:style>
  <w:style w:type="character" w:customStyle="1" w:styleId="Heading3Char">
    <w:name w:val="Heading 3 Char"/>
    <w:basedOn w:val="DefaultParagraphFont"/>
    <w:link w:val="Heading3"/>
    <w:uiPriority w:val="1"/>
    <w:rsid w:val="00CB311A"/>
    <w:rPr>
      <w:rFonts w:ascii="Verdana" w:eastAsia="Verdana" w:hAnsi="Verdana" w:cs="Verdana"/>
      <w:b/>
      <w:bCs/>
      <w:sz w:val="18"/>
      <w:szCs w:val="18"/>
    </w:rPr>
  </w:style>
  <w:style w:type="character" w:customStyle="1" w:styleId="Heading4Char">
    <w:name w:val="Heading 4 Char"/>
    <w:basedOn w:val="DefaultParagraphFont"/>
    <w:link w:val="Heading4"/>
    <w:uiPriority w:val="9"/>
    <w:semiHidden/>
    <w:rsid w:val="00CB311A"/>
    <w:rPr>
      <w:rFonts w:asciiTheme="majorHAnsi" w:eastAsiaTheme="majorEastAsia" w:hAnsiTheme="majorHAnsi" w:cstheme="majorBidi"/>
      <w:i/>
      <w:iCs/>
      <w:color w:val="638C1B" w:themeColor="accent1" w:themeShade="BF"/>
      <w:sz w:val="22"/>
      <w:szCs w:val="22"/>
    </w:rPr>
  </w:style>
  <w:style w:type="character" w:customStyle="1" w:styleId="Heading5Char">
    <w:name w:val="Heading 5 Char"/>
    <w:basedOn w:val="DefaultParagraphFont"/>
    <w:link w:val="Heading5"/>
    <w:uiPriority w:val="9"/>
    <w:semiHidden/>
    <w:rsid w:val="00CB311A"/>
    <w:rPr>
      <w:rFonts w:asciiTheme="majorHAnsi" w:eastAsiaTheme="majorEastAsia" w:hAnsiTheme="majorHAnsi" w:cstheme="majorBidi"/>
      <w:color w:val="638C1B" w:themeColor="accent1" w:themeShade="BF"/>
      <w:sz w:val="22"/>
      <w:szCs w:val="22"/>
    </w:rPr>
  </w:style>
  <w:style w:type="paragraph" w:customStyle="1" w:styleId="PABullet1">
    <w:name w:val="PA Bullet 1"/>
    <w:basedOn w:val="Normal"/>
    <w:uiPriority w:val="1"/>
    <w:qFormat/>
    <w:rsid w:val="00981490"/>
    <w:pPr>
      <w:widowControl/>
      <w:autoSpaceDE/>
      <w:autoSpaceDN/>
      <w:spacing w:before="120" w:after="120"/>
    </w:pPr>
    <w:rPr>
      <w:rFonts w:eastAsiaTheme="minorHAnsi" w:cs="Calibri"/>
      <w:color w:val="000000"/>
      <w:szCs w:val="18"/>
      <w:shd w:val="clear" w:color="auto" w:fill="FFFFFF"/>
      <w:lang w:val="en-GB"/>
    </w:rPr>
  </w:style>
  <w:style w:type="paragraph" w:customStyle="1" w:styleId="PAAlphaList">
    <w:name w:val="PA Alpha List"/>
    <w:basedOn w:val="PABullet1"/>
    <w:uiPriority w:val="1"/>
    <w:qFormat/>
    <w:rsid w:val="00CB311A"/>
    <w:pPr>
      <w:numPr>
        <w:numId w:val="3"/>
      </w:numPr>
    </w:pPr>
  </w:style>
  <w:style w:type="paragraph" w:customStyle="1" w:styleId="PABodyParagraph">
    <w:name w:val="PA Body Paragraph"/>
    <w:basedOn w:val="Normal"/>
    <w:uiPriority w:val="1"/>
    <w:qFormat/>
    <w:rsid w:val="00CB311A"/>
    <w:pPr>
      <w:spacing w:after="320"/>
    </w:pPr>
    <w:rPr>
      <w:szCs w:val="18"/>
    </w:rPr>
  </w:style>
  <w:style w:type="paragraph" w:customStyle="1" w:styleId="PABullet2">
    <w:name w:val="PA Bullet 2"/>
    <w:basedOn w:val="ListParagraph"/>
    <w:uiPriority w:val="1"/>
    <w:qFormat/>
    <w:rsid w:val="00CB311A"/>
    <w:pPr>
      <w:numPr>
        <w:numId w:val="4"/>
      </w:numPr>
      <w:spacing w:before="120" w:after="120" w:line="200" w:lineRule="atLeast"/>
      <w:contextualSpacing w:val="0"/>
    </w:pPr>
  </w:style>
  <w:style w:type="paragraph" w:customStyle="1" w:styleId="PABullet3">
    <w:name w:val="PA Bullet 3"/>
    <w:basedOn w:val="PABullet2"/>
    <w:uiPriority w:val="1"/>
    <w:qFormat/>
    <w:rsid w:val="00CB311A"/>
    <w:pPr>
      <w:ind w:left="1080"/>
    </w:pPr>
  </w:style>
  <w:style w:type="paragraph" w:customStyle="1" w:styleId="PADateSubtitle">
    <w:name w:val="PA Date Subtitle"/>
    <w:basedOn w:val="Normal"/>
    <w:link w:val="PADateSubtitleChar"/>
    <w:uiPriority w:val="1"/>
    <w:qFormat/>
    <w:rsid w:val="00CB311A"/>
    <w:pPr>
      <w:spacing w:before="240"/>
    </w:pPr>
    <w:rPr>
      <w:sz w:val="32"/>
    </w:rPr>
  </w:style>
  <w:style w:type="character" w:customStyle="1" w:styleId="PADateSubtitleChar">
    <w:name w:val="PA Date Subtitle Char"/>
    <w:basedOn w:val="DefaultParagraphFont"/>
    <w:link w:val="PADateSubtitle"/>
    <w:uiPriority w:val="1"/>
    <w:rsid w:val="00CB311A"/>
    <w:rPr>
      <w:rFonts w:ascii="Verdana" w:eastAsia="Verdana" w:hAnsi="Verdana" w:cs="Verdana"/>
      <w:sz w:val="32"/>
      <w:szCs w:val="22"/>
    </w:rPr>
  </w:style>
  <w:style w:type="paragraph" w:customStyle="1" w:styleId="PAForExample">
    <w:name w:val="PA For Example"/>
    <w:basedOn w:val="Normal"/>
    <w:uiPriority w:val="1"/>
    <w:qFormat/>
    <w:rsid w:val="00CB311A"/>
    <w:pPr>
      <w:spacing w:before="120" w:after="120" w:line="200" w:lineRule="atLeast"/>
      <w:ind w:left="288" w:right="144"/>
    </w:pPr>
    <w:rPr>
      <w:szCs w:val="18"/>
    </w:rPr>
  </w:style>
  <w:style w:type="paragraph" w:customStyle="1" w:styleId="PAForExampleBullets">
    <w:name w:val="PA For Example Bullets"/>
    <w:basedOn w:val="Normal"/>
    <w:uiPriority w:val="1"/>
    <w:qFormat/>
    <w:rsid w:val="00CB311A"/>
    <w:pPr>
      <w:numPr>
        <w:ilvl w:val="2"/>
        <w:numId w:val="5"/>
      </w:numPr>
      <w:spacing w:before="120" w:after="120" w:line="200" w:lineRule="atLeast"/>
    </w:pPr>
  </w:style>
  <w:style w:type="paragraph" w:customStyle="1" w:styleId="PAH2">
    <w:name w:val="PA H2"/>
    <w:basedOn w:val="Heading2"/>
    <w:qFormat/>
    <w:rsid w:val="00E44BAC"/>
    <w:pPr>
      <w:keepNext/>
      <w:tabs>
        <w:tab w:val="left" w:pos="180"/>
      </w:tabs>
      <w:autoSpaceDE/>
      <w:autoSpaceDN/>
      <w:spacing w:before="240"/>
      <w:ind w:left="0"/>
    </w:pPr>
    <w:rPr>
      <w:rFonts w:eastAsiaTheme="majorEastAsia" w:cstheme="majorBidi"/>
      <w:bCs/>
      <w:i/>
      <w:iCs/>
      <w:color w:val="62B5E5" w:themeColor="accent3"/>
      <w:szCs w:val="40"/>
    </w:rPr>
  </w:style>
  <w:style w:type="paragraph" w:customStyle="1" w:styleId="PAH3">
    <w:name w:val="PA H3"/>
    <w:basedOn w:val="Heading4"/>
    <w:next w:val="Normal"/>
    <w:qFormat/>
    <w:rsid w:val="00E44BAC"/>
    <w:pPr>
      <w:keepLines w:val="0"/>
      <w:widowControl/>
      <w:autoSpaceDE/>
      <w:autoSpaceDN/>
      <w:spacing w:before="240"/>
      <w:outlineLvl w:val="2"/>
    </w:pPr>
    <w:rPr>
      <w:rFonts w:ascii="Calibri" w:eastAsia="Times New Roman" w:hAnsi="Calibri"/>
      <w:b/>
      <w:i w:val="0"/>
      <w:iCs w:val="0"/>
      <w:color w:val="000000" w:themeColor="text1"/>
      <w:sz w:val="28"/>
      <w:szCs w:val="36"/>
    </w:rPr>
  </w:style>
  <w:style w:type="paragraph" w:customStyle="1" w:styleId="PANumberedList">
    <w:name w:val="PA Numbered List"/>
    <w:basedOn w:val="PABodyParagraph"/>
    <w:uiPriority w:val="1"/>
    <w:qFormat/>
    <w:rsid w:val="00CB311A"/>
    <w:pPr>
      <w:numPr>
        <w:numId w:val="6"/>
      </w:numPr>
      <w:spacing w:before="120" w:after="120" w:line="200" w:lineRule="atLeast"/>
    </w:pPr>
  </w:style>
  <w:style w:type="paragraph" w:customStyle="1" w:styleId="PATableText">
    <w:name w:val="PA Table Text"/>
    <w:basedOn w:val="Normal"/>
    <w:link w:val="PATableTextChar"/>
    <w:uiPriority w:val="1"/>
    <w:qFormat/>
    <w:rsid w:val="00CB311A"/>
    <w:pPr>
      <w:spacing w:before="120" w:after="120" w:line="200" w:lineRule="atLeast"/>
    </w:pPr>
    <w:rPr>
      <w:sz w:val="17"/>
    </w:rPr>
  </w:style>
  <w:style w:type="character" w:customStyle="1" w:styleId="PATableTextChar">
    <w:name w:val="PA Table Text Char"/>
    <w:basedOn w:val="DefaultParagraphFont"/>
    <w:link w:val="PATableText"/>
    <w:uiPriority w:val="1"/>
    <w:rsid w:val="00CB311A"/>
    <w:rPr>
      <w:rFonts w:ascii="Verdana" w:eastAsia="Verdana" w:hAnsi="Verdana" w:cs="Verdana"/>
      <w:sz w:val="17"/>
      <w:szCs w:val="22"/>
    </w:rPr>
  </w:style>
  <w:style w:type="paragraph" w:customStyle="1" w:styleId="PATableAlphaList">
    <w:name w:val="PA Table Alpha List"/>
    <w:basedOn w:val="PATableText"/>
    <w:link w:val="PATableAlphaListChar"/>
    <w:uiPriority w:val="1"/>
    <w:qFormat/>
    <w:rsid w:val="00CB311A"/>
    <w:pPr>
      <w:numPr>
        <w:numId w:val="7"/>
      </w:numPr>
    </w:pPr>
  </w:style>
  <w:style w:type="character" w:customStyle="1" w:styleId="PATableAlphaListChar">
    <w:name w:val="PA Table Alpha List Char"/>
    <w:basedOn w:val="PATableTextChar"/>
    <w:link w:val="PATableAlphaList"/>
    <w:uiPriority w:val="1"/>
    <w:rsid w:val="00CB311A"/>
    <w:rPr>
      <w:rFonts w:ascii="Verdana" w:eastAsia="Verdana" w:hAnsi="Verdana" w:cs="Verdana"/>
      <w:sz w:val="17"/>
      <w:szCs w:val="22"/>
    </w:rPr>
  </w:style>
  <w:style w:type="paragraph" w:customStyle="1" w:styleId="PATableB1">
    <w:name w:val="PA Table B1"/>
    <w:basedOn w:val="Normal"/>
    <w:uiPriority w:val="1"/>
    <w:qFormat/>
    <w:rsid w:val="00CB311A"/>
    <w:pPr>
      <w:widowControl/>
      <w:autoSpaceDE/>
      <w:autoSpaceDN/>
      <w:spacing w:before="120" w:after="120" w:line="200" w:lineRule="atLeast"/>
      <w:ind w:left="360" w:hanging="360"/>
    </w:pPr>
    <w:rPr>
      <w:rFonts w:eastAsiaTheme="minorHAnsi" w:cstheme="minorBidi"/>
      <w:sz w:val="17"/>
      <w:szCs w:val="17"/>
      <w:lang w:val="en-GB"/>
    </w:rPr>
  </w:style>
  <w:style w:type="paragraph" w:customStyle="1" w:styleId="PATableHeading">
    <w:name w:val="PA Table Heading"/>
    <w:basedOn w:val="Normal"/>
    <w:uiPriority w:val="1"/>
    <w:qFormat/>
    <w:rsid w:val="00CB311A"/>
    <w:pPr>
      <w:spacing w:before="120" w:after="120" w:line="200" w:lineRule="atLeast"/>
      <w:ind w:left="60" w:right="64"/>
    </w:pPr>
    <w:rPr>
      <w:b/>
      <w:color w:val="62B5E5"/>
      <w:szCs w:val="18"/>
    </w:rPr>
  </w:style>
  <w:style w:type="paragraph" w:customStyle="1" w:styleId="PATableNumberList">
    <w:name w:val="PA Table Number List"/>
    <w:basedOn w:val="PATableText"/>
    <w:uiPriority w:val="1"/>
    <w:qFormat/>
    <w:rsid w:val="00CB311A"/>
    <w:pPr>
      <w:numPr>
        <w:numId w:val="8"/>
      </w:numPr>
    </w:pPr>
  </w:style>
  <w:style w:type="paragraph" w:customStyle="1" w:styleId="PATitle">
    <w:name w:val="PA Title"/>
    <w:basedOn w:val="Normal"/>
    <w:next w:val="Normal"/>
    <w:link w:val="PATitleChar"/>
    <w:autoRedefine/>
    <w:qFormat/>
    <w:rsid w:val="00AE66C8"/>
    <w:pPr>
      <w:widowControl/>
      <w:autoSpaceDE/>
      <w:autoSpaceDN/>
      <w:spacing w:before="100" w:beforeAutospacing="1" w:after="100" w:afterAutospacing="1"/>
    </w:pPr>
    <w:rPr>
      <w:rFonts w:eastAsiaTheme="majorEastAsia" w:cs="Calibri"/>
      <w:bCs/>
      <w:color w:val="000000" w:themeColor="text1"/>
      <w:sz w:val="56"/>
      <w:szCs w:val="56"/>
      <w:lang w:val="en-GB"/>
    </w:rPr>
  </w:style>
  <w:style w:type="character" w:customStyle="1" w:styleId="PATitleChar">
    <w:name w:val="PA Title Char"/>
    <w:basedOn w:val="DefaultParagraphFont"/>
    <w:link w:val="PATitle"/>
    <w:rsid w:val="00AE66C8"/>
    <w:rPr>
      <w:rFonts w:eastAsiaTheme="majorEastAsia" w:cs="Calibri"/>
      <w:bCs/>
      <w:color w:val="000000" w:themeColor="text1"/>
      <w:sz w:val="56"/>
      <w:szCs w:val="56"/>
      <w:lang w:val="en-GB"/>
    </w:rPr>
  </w:style>
  <w:style w:type="paragraph" w:styleId="TOC1">
    <w:name w:val="toc 1"/>
    <w:basedOn w:val="Normal"/>
    <w:next w:val="Normal"/>
    <w:autoRedefine/>
    <w:uiPriority w:val="39"/>
    <w:unhideWhenUsed/>
    <w:rsid w:val="00CB311A"/>
    <w:pPr>
      <w:spacing w:after="100"/>
    </w:pPr>
  </w:style>
  <w:style w:type="paragraph" w:styleId="TOC2">
    <w:name w:val="toc 2"/>
    <w:basedOn w:val="Normal"/>
    <w:next w:val="Normal"/>
    <w:autoRedefine/>
    <w:uiPriority w:val="39"/>
    <w:unhideWhenUsed/>
    <w:rsid w:val="00CB311A"/>
    <w:pPr>
      <w:spacing w:after="100"/>
      <w:ind w:left="220"/>
    </w:pPr>
  </w:style>
  <w:style w:type="paragraph" w:styleId="TOC3">
    <w:name w:val="toc 3"/>
    <w:basedOn w:val="Normal"/>
    <w:next w:val="Normal"/>
    <w:autoRedefine/>
    <w:uiPriority w:val="39"/>
    <w:unhideWhenUsed/>
    <w:rsid w:val="00CB311A"/>
    <w:pPr>
      <w:spacing w:after="100"/>
      <w:ind w:left="440"/>
    </w:pPr>
  </w:style>
  <w:style w:type="paragraph" w:customStyle="1" w:styleId="PAH4">
    <w:name w:val="PA H4"/>
    <w:basedOn w:val="Normal"/>
    <w:link w:val="PAH4Char"/>
    <w:uiPriority w:val="1"/>
    <w:qFormat/>
    <w:rsid w:val="00CB311A"/>
    <w:pPr>
      <w:keepNext/>
      <w:adjustRightInd w:val="0"/>
      <w:spacing w:before="240"/>
    </w:pPr>
    <w:rPr>
      <w:b/>
      <w:i/>
      <w:color w:val="000000" w:themeColor="text1"/>
      <w:sz w:val="24"/>
    </w:rPr>
  </w:style>
  <w:style w:type="character" w:customStyle="1" w:styleId="PAH4Char">
    <w:name w:val="PA H4 Char"/>
    <w:basedOn w:val="DefaultParagraphFont"/>
    <w:link w:val="PAH4"/>
    <w:uiPriority w:val="1"/>
    <w:rsid w:val="00CB311A"/>
    <w:rPr>
      <w:rFonts w:ascii="Verdana" w:eastAsia="Verdana" w:hAnsi="Verdana" w:cs="Verdana"/>
      <w:b/>
      <w:i/>
      <w:color w:val="000000" w:themeColor="text1"/>
      <w:sz w:val="24"/>
      <w:szCs w:val="22"/>
    </w:rPr>
  </w:style>
  <w:style w:type="character" w:styleId="UnresolvedMention">
    <w:name w:val="Unresolved Mention"/>
    <w:basedOn w:val="DefaultParagraphFont"/>
    <w:uiPriority w:val="99"/>
    <w:semiHidden/>
    <w:unhideWhenUsed/>
    <w:rsid w:val="00F827DD"/>
    <w:rPr>
      <w:color w:val="605E5C"/>
      <w:shd w:val="clear" w:color="auto" w:fill="E1DFDD"/>
    </w:rPr>
  </w:style>
  <w:style w:type="character" w:customStyle="1" w:styleId="dart-i">
    <w:name w:val="dart-i"/>
    <w:basedOn w:val="DefaultParagraphFont"/>
    <w:rsid w:val="00EA7315"/>
  </w:style>
  <w:style w:type="paragraph" w:customStyle="1" w:styleId="PABulletLink75IND">
    <w:name w:val="PA_Bullet_Link_.75IND"/>
    <w:basedOn w:val="PABullet1"/>
    <w:uiPriority w:val="1"/>
    <w:qFormat/>
    <w:rsid w:val="00981490"/>
    <w:pPr>
      <w:numPr>
        <w:numId w:val="2"/>
      </w:numPr>
    </w:pPr>
  </w:style>
  <w:style w:type="paragraph" w:customStyle="1" w:styleId="PGADateSubtitle">
    <w:name w:val="PGA Date Subtitle"/>
    <w:basedOn w:val="Normal"/>
    <w:link w:val="PGADateSubtitleChar"/>
    <w:qFormat/>
    <w:rsid w:val="00493116"/>
    <w:pPr>
      <w:spacing w:before="120" w:after="0"/>
    </w:pPr>
    <w:rPr>
      <w:rFonts w:ascii="Verdana" w:hAnsi="Verdana"/>
      <w:sz w:val="40"/>
    </w:rPr>
  </w:style>
  <w:style w:type="character" w:customStyle="1" w:styleId="PGADateSubtitleChar">
    <w:name w:val="PGA Date Subtitle Char"/>
    <w:basedOn w:val="DefaultParagraphFont"/>
    <w:link w:val="PGADateSubtitle"/>
    <w:rsid w:val="00493116"/>
    <w:rPr>
      <w:rFonts w:ascii="Verdana" w:eastAsia="Verdana" w:hAnsi="Verdana" w:cs="Verdana"/>
      <w:sz w:val="40"/>
      <w:szCs w:val="22"/>
    </w:rPr>
  </w:style>
  <w:style w:type="character" w:customStyle="1" w:styleId="dart-text">
    <w:name w:val="dart-text"/>
    <w:basedOn w:val="DefaultParagraphFont"/>
    <w:rsid w:val="00C94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0174">
      <w:bodyDiv w:val="1"/>
      <w:marLeft w:val="0"/>
      <w:marRight w:val="0"/>
      <w:marTop w:val="0"/>
      <w:marBottom w:val="0"/>
      <w:divBdr>
        <w:top w:val="none" w:sz="0" w:space="0" w:color="auto"/>
        <w:left w:val="none" w:sz="0" w:space="0" w:color="auto"/>
        <w:bottom w:val="none" w:sz="0" w:space="0" w:color="auto"/>
        <w:right w:val="none" w:sz="0" w:space="0" w:color="auto"/>
      </w:divBdr>
      <w:divsChild>
        <w:div w:id="577834620">
          <w:marLeft w:val="0"/>
          <w:marRight w:val="0"/>
          <w:marTop w:val="150"/>
          <w:marBottom w:val="150"/>
          <w:divBdr>
            <w:top w:val="none" w:sz="0" w:space="0" w:color="auto"/>
            <w:left w:val="none" w:sz="0" w:space="0" w:color="auto"/>
            <w:bottom w:val="none" w:sz="0" w:space="0" w:color="auto"/>
            <w:right w:val="none" w:sz="0" w:space="0" w:color="auto"/>
          </w:divBdr>
        </w:div>
        <w:div w:id="908463518">
          <w:marLeft w:val="0"/>
          <w:marRight w:val="0"/>
          <w:marTop w:val="150"/>
          <w:marBottom w:val="150"/>
          <w:divBdr>
            <w:top w:val="none" w:sz="0" w:space="0" w:color="auto"/>
            <w:left w:val="none" w:sz="0" w:space="0" w:color="auto"/>
            <w:bottom w:val="none" w:sz="0" w:space="0" w:color="auto"/>
            <w:right w:val="none" w:sz="0" w:space="0" w:color="auto"/>
          </w:divBdr>
        </w:div>
      </w:divsChild>
    </w:div>
    <w:div w:id="72899240">
      <w:bodyDiv w:val="1"/>
      <w:marLeft w:val="0"/>
      <w:marRight w:val="0"/>
      <w:marTop w:val="0"/>
      <w:marBottom w:val="0"/>
      <w:divBdr>
        <w:top w:val="none" w:sz="0" w:space="0" w:color="auto"/>
        <w:left w:val="none" w:sz="0" w:space="0" w:color="auto"/>
        <w:bottom w:val="none" w:sz="0" w:space="0" w:color="auto"/>
        <w:right w:val="none" w:sz="0" w:space="0" w:color="auto"/>
      </w:divBdr>
    </w:div>
    <w:div w:id="77673950">
      <w:bodyDiv w:val="1"/>
      <w:marLeft w:val="0"/>
      <w:marRight w:val="0"/>
      <w:marTop w:val="0"/>
      <w:marBottom w:val="0"/>
      <w:divBdr>
        <w:top w:val="none" w:sz="0" w:space="0" w:color="auto"/>
        <w:left w:val="none" w:sz="0" w:space="0" w:color="auto"/>
        <w:bottom w:val="none" w:sz="0" w:space="0" w:color="auto"/>
        <w:right w:val="none" w:sz="0" w:space="0" w:color="auto"/>
      </w:divBdr>
    </w:div>
    <w:div w:id="111442326">
      <w:bodyDiv w:val="1"/>
      <w:marLeft w:val="0"/>
      <w:marRight w:val="0"/>
      <w:marTop w:val="0"/>
      <w:marBottom w:val="0"/>
      <w:divBdr>
        <w:top w:val="none" w:sz="0" w:space="0" w:color="auto"/>
        <w:left w:val="none" w:sz="0" w:space="0" w:color="auto"/>
        <w:bottom w:val="none" w:sz="0" w:space="0" w:color="auto"/>
        <w:right w:val="none" w:sz="0" w:space="0" w:color="auto"/>
      </w:divBdr>
      <w:divsChild>
        <w:div w:id="1390885502">
          <w:marLeft w:val="0"/>
          <w:marRight w:val="0"/>
          <w:marTop w:val="150"/>
          <w:marBottom w:val="150"/>
          <w:divBdr>
            <w:top w:val="none" w:sz="0" w:space="0" w:color="auto"/>
            <w:left w:val="none" w:sz="0" w:space="0" w:color="auto"/>
            <w:bottom w:val="none" w:sz="0" w:space="0" w:color="auto"/>
            <w:right w:val="none" w:sz="0" w:space="0" w:color="auto"/>
          </w:divBdr>
        </w:div>
        <w:div w:id="2130931840">
          <w:marLeft w:val="0"/>
          <w:marRight w:val="0"/>
          <w:marTop w:val="150"/>
          <w:marBottom w:val="150"/>
          <w:divBdr>
            <w:top w:val="none" w:sz="0" w:space="0" w:color="auto"/>
            <w:left w:val="none" w:sz="0" w:space="0" w:color="auto"/>
            <w:bottom w:val="none" w:sz="0" w:space="0" w:color="auto"/>
            <w:right w:val="none" w:sz="0" w:space="0" w:color="auto"/>
          </w:divBdr>
        </w:div>
      </w:divsChild>
    </w:div>
    <w:div w:id="214321292">
      <w:bodyDiv w:val="1"/>
      <w:marLeft w:val="0"/>
      <w:marRight w:val="0"/>
      <w:marTop w:val="0"/>
      <w:marBottom w:val="0"/>
      <w:divBdr>
        <w:top w:val="none" w:sz="0" w:space="0" w:color="auto"/>
        <w:left w:val="none" w:sz="0" w:space="0" w:color="auto"/>
        <w:bottom w:val="none" w:sz="0" w:space="0" w:color="auto"/>
        <w:right w:val="none" w:sz="0" w:space="0" w:color="auto"/>
      </w:divBdr>
    </w:div>
    <w:div w:id="232664385">
      <w:bodyDiv w:val="1"/>
      <w:marLeft w:val="0"/>
      <w:marRight w:val="0"/>
      <w:marTop w:val="0"/>
      <w:marBottom w:val="0"/>
      <w:divBdr>
        <w:top w:val="none" w:sz="0" w:space="0" w:color="auto"/>
        <w:left w:val="none" w:sz="0" w:space="0" w:color="auto"/>
        <w:bottom w:val="none" w:sz="0" w:space="0" w:color="auto"/>
        <w:right w:val="none" w:sz="0" w:space="0" w:color="auto"/>
      </w:divBdr>
    </w:div>
    <w:div w:id="262416763">
      <w:bodyDiv w:val="1"/>
      <w:marLeft w:val="0"/>
      <w:marRight w:val="0"/>
      <w:marTop w:val="0"/>
      <w:marBottom w:val="0"/>
      <w:divBdr>
        <w:top w:val="none" w:sz="0" w:space="0" w:color="auto"/>
        <w:left w:val="none" w:sz="0" w:space="0" w:color="auto"/>
        <w:bottom w:val="none" w:sz="0" w:space="0" w:color="auto"/>
        <w:right w:val="none" w:sz="0" w:space="0" w:color="auto"/>
      </w:divBdr>
    </w:div>
    <w:div w:id="308636812">
      <w:bodyDiv w:val="1"/>
      <w:marLeft w:val="0"/>
      <w:marRight w:val="0"/>
      <w:marTop w:val="0"/>
      <w:marBottom w:val="0"/>
      <w:divBdr>
        <w:top w:val="none" w:sz="0" w:space="0" w:color="auto"/>
        <w:left w:val="none" w:sz="0" w:space="0" w:color="auto"/>
        <w:bottom w:val="none" w:sz="0" w:space="0" w:color="auto"/>
        <w:right w:val="none" w:sz="0" w:space="0" w:color="auto"/>
      </w:divBdr>
      <w:divsChild>
        <w:div w:id="1784422787">
          <w:marLeft w:val="0"/>
          <w:marRight w:val="0"/>
          <w:marTop w:val="150"/>
          <w:marBottom w:val="150"/>
          <w:divBdr>
            <w:top w:val="none" w:sz="0" w:space="0" w:color="auto"/>
            <w:left w:val="none" w:sz="0" w:space="0" w:color="auto"/>
            <w:bottom w:val="none" w:sz="0" w:space="0" w:color="auto"/>
            <w:right w:val="none" w:sz="0" w:space="0" w:color="auto"/>
          </w:divBdr>
          <w:divsChild>
            <w:div w:id="1318455029">
              <w:marLeft w:val="0"/>
              <w:marRight w:val="0"/>
              <w:marTop w:val="150"/>
              <w:marBottom w:val="150"/>
              <w:divBdr>
                <w:top w:val="none" w:sz="0" w:space="0" w:color="auto"/>
                <w:left w:val="none" w:sz="0" w:space="0" w:color="auto"/>
                <w:bottom w:val="none" w:sz="0" w:space="0" w:color="auto"/>
                <w:right w:val="none" w:sz="0" w:space="0" w:color="auto"/>
              </w:divBdr>
            </w:div>
            <w:div w:id="1699888478">
              <w:marLeft w:val="0"/>
              <w:marRight w:val="0"/>
              <w:marTop w:val="150"/>
              <w:marBottom w:val="150"/>
              <w:divBdr>
                <w:top w:val="none" w:sz="0" w:space="0" w:color="auto"/>
                <w:left w:val="none" w:sz="0" w:space="0" w:color="auto"/>
                <w:bottom w:val="none" w:sz="0" w:space="0" w:color="auto"/>
                <w:right w:val="none" w:sz="0" w:space="0" w:color="auto"/>
              </w:divBdr>
            </w:div>
          </w:divsChild>
        </w:div>
        <w:div w:id="1056440831">
          <w:marLeft w:val="0"/>
          <w:marRight w:val="0"/>
          <w:marTop w:val="150"/>
          <w:marBottom w:val="150"/>
          <w:divBdr>
            <w:top w:val="none" w:sz="0" w:space="0" w:color="auto"/>
            <w:left w:val="none" w:sz="0" w:space="0" w:color="auto"/>
            <w:bottom w:val="none" w:sz="0" w:space="0" w:color="auto"/>
            <w:right w:val="none" w:sz="0" w:space="0" w:color="auto"/>
          </w:divBdr>
        </w:div>
      </w:divsChild>
    </w:div>
    <w:div w:id="412703176">
      <w:bodyDiv w:val="1"/>
      <w:marLeft w:val="0"/>
      <w:marRight w:val="0"/>
      <w:marTop w:val="0"/>
      <w:marBottom w:val="0"/>
      <w:divBdr>
        <w:top w:val="none" w:sz="0" w:space="0" w:color="auto"/>
        <w:left w:val="none" w:sz="0" w:space="0" w:color="auto"/>
        <w:bottom w:val="none" w:sz="0" w:space="0" w:color="auto"/>
        <w:right w:val="none" w:sz="0" w:space="0" w:color="auto"/>
      </w:divBdr>
      <w:divsChild>
        <w:div w:id="937446568">
          <w:marLeft w:val="0"/>
          <w:marRight w:val="0"/>
          <w:marTop w:val="150"/>
          <w:marBottom w:val="150"/>
          <w:divBdr>
            <w:top w:val="none" w:sz="0" w:space="0" w:color="auto"/>
            <w:left w:val="none" w:sz="0" w:space="0" w:color="auto"/>
            <w:bottom w:val="none" w:sz="0" w:space="0" w:color="auto"/>
            <w:right w:val="none" w:sz="0" w:space="0" w:color="auto"/>
          </w:divBdr>
        </w:div>
        <w:div w:id="1667510823">
          <w:marLeft w:val="0"/>
          <w:marRight w:val="0"/>
          <w:marTop w:val="150"/>
          <w:marBottom w:val="150"/>
          <w:divBdr>
            <w:top w:val="none" w:sz="0" w:space="0" w:color="auto"/>
            <w:left w:val="none" w:sz="0" w:space="0" w:color="auto"/>
            <w:bottom w:val="none" w:sz="0" w:space="0" w:color="auto"/>
            <w:right w:val="none" w:sz="0" w:space="0" w:color="auto"/>
          </w:divBdr>
        </w:div>
      </w:divsChild>
    </w:div>
    <w:div w:id="444422787">
      <w:bodyDiv w:val="1"/>
      <w:marLeft w:val="0"/>
      <w:marRight w:val="0"/>
      <w:marTop w:val="0"/>
      <w:marBottom w:val="0"/>
      <w:divBdr>
        <w:top w:val="none" w:sz="0" w:space="0" w:color="auto"/>
        <w:left w:val="none" w:sz="0" w:space="0" w:color="auto"/>
        <w:bottom w:val="none" w:sz="0" w:space="0" w:color="auto"/>
        <w:right w:val="none" w:sz="0" w:space="0" w:color="auto"/>
      </w:divBdr>
    </w:div>
    <w:div w:id="507063948">
      <w:bodyDiv w:val="1"/>
      <w:marLeft w:val="0"/>
      <w:marRight w:val="0"/>
      <w:marTop w:val="0"/>
      <w:marBottom w:val="0"/>
      <w:divBdr>
        <w:top w:val="none" w:sz="0" w:space="0" w:color="auto"/>
        <w:left w:val="none" w:sz="0" w:space="0" w:color="auto"/>
        <w:bottom w:val="none" w:sz="0" w:space="0" w:color="auto"/>
        <w:right w:val="none" w:sz="0" w:space="0" w:color="auto"/>
      </w:divBdr>
    </w:div>
    <w:div w:id="536352511">
      <w:bodyDiv w:val="1"/>
      <w:marLeft w:val="0"/>
      <w:marRight w:val="0"/>
      <w:marTop w:val="0"/>
      <w:marBottom w:val="0"/>
      <w:divBdr>
        <w:top w:val="none" w:sz="0" w:space="0" w:color="auto"/>
        <w:left w:val="none" w:sz="0" w:space="0" w:color="auto"/>
        <w:bottom w:val="none" w:sz="0" w:space="0" w:color="auto"/>
        <w:right w:val="none" w:sz="0" w:space="0" w:color="auto"/>
      </w:divBdr>
    </w:div>
    <w:div w:id="560291567">
      <w:bodyDiv w:val="1"/>
      <w:marLeft w:val="0"/>
      <w:marRight w:val="0"/>
      <w:marTop w:val="0"/>
      <w:marBottom w:val="0"/>
      <w:divBdr>
        <w:top w:val="none" w:sz="0" w:space="0" w:color="auto"/>
        <w:left w:val="none" w:sz="0" w:space="0" w:color="auto"/>
        <w:bottom w:val="none" w:sz="0" w:space="0" w:color="auto"/>
        <w:right w:val="none" w:sz="0" w:space="0" w:color="auto"/>
      </w:divBdr>
    </w:div>
    <w:div w:id="570042548">
      <w:bodyDiv w:val="1"/>
      <w:marLeft w:val="0"/>
      <w:marRight w:val="0"/>
      <w:marTop w:val="0"/>
      <w:marBottom w:val="0"/>
      <w:divBdr>
        <w:top w:val="none" w:sz="0" w:space="0" w:color="auto"/>
        <w:left w:val="none" w:sz="0" w:space="0" w:color="auto"/>
        <w:bottom w:val="none" w:sz="0" w:space="0" w:color="auto"/>
        <w:right w:val="none" w:sz="0" w:space="0" w:color="auto"/>
      </w:divBdr>
      <w:divsChild>
        <w:div w:id="674578818">
          <w:marLeft w:val="0"/>
          <w:marRight w:val="0"/>
          <w:marTop w:val="300"/>
          <w:marBottom w:val="300"/>
          <w:divBdr>
            <w:top w:val="none" w:sz="0" w:space="0" w:color="auto"/>
            <w:left w:val="none" w:sz="0" w:space="0" w:color="auto"/>
            <w:bottom w:val="none" w:sz="0" w:space="0" w:color="auto"/>
            <w:right w:val="none" w:sz="0" w:space="0" w:color="auto"/>
          </w:divBdr>
          <w:divsChild>
            <w:div w:id="148172453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81333534">
      <w:bodyDiv w:val="1"/>
      <w:marLeft w:val="0"/>
      <w:marRight w:val="0"/>
      <w:marTop w:val="0"/>
      <w:marBottom w:val="0"/>
      <w:divBdr>
        <w:top w:val="none" w:sz="0" w:space="0" w:color="auto"/>
        <w:left w:val="none" w:sz="0" w:space="0" w:color="auto"/>
        <w:bottom w:val="none" w:sz="0" w:space="0" w:color="auto"/>
        <w:right w:val="none" w:sz="0" w:space="0" w:color="auto"/>
      </w:divBdr>
    </w:div>
    <w:div w:id="638001784">
      <w:bodyDiv w:val="1"/>
      <w:marLeft w:val="0"/>
      <w:marRight w:val="0"/>
      <w:marTop w:val="0"/>
      <w:marBottom w:val="0"/>
      <w:divBdr>
        <w:top w:val="none" w:sz="0" w:space="0" w:color="auto"/>
        <w:left w:val="none" w:sz="0" w:space="0" w:color="auto"/>
        <w:bottom w:val="none" w:sz="0" w:space="0" w:color="auto"/>
        <w:right w:val="none" w:sz="0" w:space="0" w:color="auto"/>
      </w:divBdr>
    </w:div>
    <w:div w:id="652564668">
      <w:bodyDiv w:val="1"/>
      <w:marLeft w:val="0"/>
      <w:marRight w:val="0"/>
      <w:marTop w:val="0"/>
      <w:marBottom w:val="0"/>
      <w:divBdr>
        <w:top w:val="none" w:sz="0" w:space="0" w:color="auto"/>
        <w:left w:val="none" w:sz="0" w:space="0" w:color="auto"/>
        <w:bottom w:val="none" w:sz="0" w:space="0" w:color="auto"/>
        <w:right w:val="none" w:sz="0" w:space="0" w:color="auto"/>
      </w:divBdr>
      <w:divsChild>
        <w:div w:id="448857242">
          <w:marLeft w:val="0"/>
          <w:marRight w:val="0"/>
          <w:marTop w:val="150"/>
          <w:marBottom w:val="150"/>
          <w:divBdr>
            <w:top w:val="none" w:sz="0" w:space="0" w:color="auto"/>
            <w:left w:val="none" w:sz="0" w:space="0" w:color="auto"/>
            <w:bottom w:val="none" w:sz="0" w:space="0" w:color="auto"/>
            <w:right w:val="none" w:sz="0" w:space="0" w:color="auto"/>
          </w:divBdr>
        </w:div>
        <w:div w:id="434323545">
          <w:marLeft w:val="0"/>
          <w:marRight w:val="0"/>
          <w:marTop w:val="150"/>
          <w:marBottom w:val="150"/>
          <w:divBdr>
            <w:top w:val="none" w:sz="0" w:space="0" w:color="auto"/>
            <w:left w:val="none" w:sz="0" w:space="0" w:color="auto"/>
            <w:bottom w:val="none" w:sz="0" w:space="0" w:color="auto"/>
            <w:right w:val="none" w:sz="0" w:space="0" w:color="auto"/>
          </w:divBdr>
        </w:div>
      </w:divsChild>
    </w:div>
    <w:div w:id="736394313">
      <w:bodyDiv w:val="1"/>
      <w:marLeft w:val="0"/>
      <w:marRight w:val="0"/>
      <w:marTop w:val="0"/>
      <w:marBottom w:val="0"/>
      <w:divBdr>
        <w:top w:val="none" w:sz="0" w:space="0" w:color="auto"/>
        <w:left w:val="none" w:sz="0" w:space="0" w:color="auto"/>
        <w:bottom w:val="none" w:sz="0" w:space="0" w:color="auto"/>
        <w:right w:val="none" w:sz="0" w:space="0" w:color="auto"/>
      </w:divBdr>
    </w:div>
    <w:div w:id="843740381">
      <w:bodyDiv w:val="1"/>
      <w:marLeft w:val="0"/>
      <w:marRight w:val="0"/>
      <w:marTop w:val="0"/>
      <w:marBottom w:val="0"/>
      <w:divBdr>
        <w:top w:val="none" w:sz="0" w:space="0" w:color="auto"/>
        <w:left w:val="none" w:sz="0" w:space="0" w:color="auto"/>
        <w:bottom w:val="none" w:sz="0" w:space="0" w:color="auto"/>
        <w:right w:val="none" w:sz="0" w:space="0" w:color="auto"/>
      </w:divBdr>
    </w:div>
    <w:div w:id="990333433">
      <w:bodyDiv w:val="1"/>
      <w:marLeft w:val="0"/>
      <w:marRight w:val="0"/>
      <w:marTop w:val="0"/>
      <w:marBottom w:val="0"/>
      <w:divBdr>
        <w:top w:val="none" w:sz="0" w:space="0" w:color="auto"/>
        <w:left w:val="none" w:sz="0" w:space="0" w:color="auto"/>
        <w:bottom w:val="none" w:sz="0" w:space="0" w:color="auto"/>
        <w:right w:val="none" w:sz="0" w:space="0" w:color="auto"/>
      </w:divBdr>
    </w:div>
    <w:div w:id="1098063391">
      <w:bodyDiv w:val="1"/>
      <w:marLeft w:val="0"/>
      <w:marRight w:val="0"/>
      <w:marTop w:val="0"/>
      <w:marBottom w:val="0"/>
      <w:divBdr>
        <w:top w:val="none" w:sz="0" w:space="0" w:color="auto"/>
        <w:left w:val="none" w:sz="0" w:space="0" w:color="auto"/>
        <w:bottom w:val="none" w:sz="0" w:space="0" w:color="auto"/>
        <w:right w:val="none" w:sz="0" w:space="0" w:color="auto"/>
      </w:divBdr>
    </w:div>
    <w:div w:id="1279221545">
      <w:bodyDiv w:val="1"/>
      <w:marLeft w:val="0"/>
      <w:marRight w:val="0"/>
      <w:marTop w:val="0"/>
      <w:marBottom w:val="0"/>
      <w:divBdr>
        <w:top w:val="none" w:sz="0" w:space="0" w:color="auto"/>
        <w:left w:val="none" w:sz="0" w:space="0" w:color="auto"/>
        <w:bottom w:val="none" w:sz="0" w:space="0" w:color="auto"/>
        <w:right w:val="none" w:sz="0" w:space="0" w:color="auto"/>
      </w:divBdr>
    </w:div>
    <w:div w:id="1382944376">
      <w:bodyDiv w:val="1"/>
      <w:marLeft w:val="0"/>
      <w:marRight w:val="0"/>
      <w:marTop w:val="0"/>
      <w:marBottom w:val="0"/>
      <w:divBdr>
        <w:top w:val="none" w:sz="0" w:space="0" w:color="auto"/>
        <w:left w:val="none" w:sz="0" w:space="0" w:color="auto"/>
        <w:bottom w:val="none" w:sz="0" w:space="0" w:color="auto"/>
        <w:right w:val="none" w:sz="0" w:space="0" w:color="auto"/>
      </w:divBdr>
    </w:div>
    <w:div w:id="1470126338">
      <w:bodyDiv w:val="1"/>
      <w:marLeft w:val="0"/>
      <w:marRight w:val="0"/>
      <w:marTop w:val="0"/>
      <w:marBottom w:val="0"/>
      <w:divBdr>
        <w:top w:val="none" w:sz="0" w:space="0" w:color="auto"/>
        <w:left w:val="none" w:sz="0" w:space="0" w:color="auto"/>
        <w:bottom w:val="none" w:sz="0" w:space="0" w:color="auto"/>
        <w:right w:val="none" w:sz="0" w:space="0" w:color="auto"/>
      </w:divBdr>
    </w:div>
    <w:div w:id="1485274383">
      <w:bodyDiv w:val="1"/>
      <w:marLeft w:val="0"/>
      <w:marRight w:val="0"/>
      <w:marTop w:val="0"/>
      <w:marBottom w:val="0"/>
      <w:divBdr>
        <w:top w:val="none" w:sz="0" w:space="0" w:color="auto"/>
        <w:left w:val="none" w:sz="0" w:space="0" w:color="auto"/>
        <w:bottom w:val="none" w:sz="0" w:space="0" w:color="auto"/>
        <w:right w:val="none" w:sz="0" w:space="0" w:color="auto"/>
      </w:divBdr>
      <w:divsChild>
        <w:div w:id="684869866">
          <w:marLeft w:val="0"/>
          <w:marRight w:val="0"/>
          <w:marTop w:val="0"/>
          <w:marBottom w:val="0"/>
          <w:divBdr>
            <w:top w:val="none" w:sz="0" w:space="0" w:color="auto"/>
            <w:left w:val="none" w:sz="0" w:space="0" w:color="auto"/>
            <w:bottom w:val="none" w:sz="0" w:space="0" w:color="auto"/>
            <w:right w:val="none" w:sz="0" w:space="0" w:color="auto"/>
          </w:divBdr>
          <w:divsChild>
            <w:div w:id="1026442156">
              <w:marLeft w:val="0"/>
              <w:marRight w:val="0"/>
              <w:marTop w:val="0"/>
              <w:marBottom w:val="0"/>
              <w:divBdr>
                <w:top w:val="none" w:sz="0" w:space="0" w:color="auto"/>
                <w:left w:val="none" w:sz="0" w:space="0" w:color="auto"/>
                <w:bottom w:val="none" w:sz="0" w:space="0" w:color="auto"/>
                <w:right w:val="none" w:sz="0" w:space="0" w:color="auto"/>
              </w:divBdr>
              <w:divsChild>
                <w:div w:id="529951750">
                  <w:marLeft w:val="0"/>
                  <w:marRight w:val="0"/>
                  <w:marTop w:val="0"/>
                  <w:marBottom w:val="0"/>
                  <w:divBdr>
                    <w:top w:val="none" w:sz="0" w:space="0" w:color="auto"/>
                    <w:left w:val="none" w:sz="0" w:space="0" w:color="auto"/>
                    <w:bottom w:val="none" w:sz="0" w:space="0" w:color="auto"/>
                    <w:right w:val="none" w:sz="0" w:space="0" w:color="auto"/>
                  </w:divBdr>
                  <w:divsChild>
                    <w:div w:id="328288956">
                      <w:marLeft w:val="0"/>
                      <w:marRight w:val="0"/>
                      <w:marTop w:val="0"/>
                      <w:marBottom w:val="0"/>
                      <w:divBdr>
                        <w:top w:val="none" w:sz="0" w:space="0" w:color="auto"/>
                        <w:left w:val="none" w:sz="0" w:space="0" w:color="auto"/>
                        <w:bottom w:val="none" w:sz="0" w:space="0" w:color="auto"/>
                        <w:right w:val="none" w:sz="0" w:space="0" w:color="auto"/>
                      </w:divBdr>
                      <w:divsChild>
                        <w:div w:id="2004357825">
                          <w:marLeft w:val="0"/>
                          <w:marRight w:val="0"/>
                          <w:marTop w:val="0"/>
                          <w:marBottom w:val="0"/>
                          <w:divBdr>
                            <w:top w:val="none" w:sz="0" w:space="0" w:color="auto"/>
                            <w:left w:val="none" w:sz="0" w:space="0" w:color="auto"/>
                            <w:bottom w:val="none" w:sz="0" w:space="0" w:color="auto"/>
                            <w:right w:val="none" w:sz="0" w:space="0" w:color="auto"/>
                          </w:divBdr>
                          <w:divsChild>
                            <w:div w:id="43215729">
                              <w:marLeft w:val="0"/>
                              <w:marRight w:val="0"/>
                              <w:marTop w:val="0"/>
                              <w:marBottom w:val="0"/>
                              <w:divBdr>
                                <w:top w:val="none" w:sz="0" w:space="0" w:color="auto"/>
                                <w:left w:val="none" w:sz="0" w:space="0" w:color="auto"/>
                                <w:bottom w:val="none" w:sz="0" w:space="0" w:color="auto"/>
                                <w:right w:val="none" w:sz="0" w:space="0" w:color="auto"/>
                              </w:divBdr>
                              <w:divsChild>
                                <w:div w:id="1050347310">
                                  <w:marLeft w:val="0"/>
                                  <w:marRight w:val="0"/>
                                  <w:marTop w:val="0"/>
                                  <w:marBottom w:val="0"/>
                                  <w:divBdr>
                                    <w:top w:val="none" w:sz="0" w:space="0" w:color="auto"/>
                                    <w:left w:val="none" w:sz="0" w:space="0" w:color="auto"/>
                                    <w:bottom w:val="none" w:sz="0" w:space="0" w:color="auto"/>
                                    <w:right w:val="none" w:sz="0" w:space="0" w:color="auto"/>
                                  </w:divBdr>
                                  <w:divsChild>
                                    <w:div w:id="680203954">
                                      <w:marLeft w:val="0"/>
                                      <w:marRight w:val="0"/>
                                      <w:marTop w:val="0"/>
                                      <w:marBottom w:val="0"/>
                                      <w:divBdr>
                                        <w:top w:val="none" w:sz="0" w:space="0" w:color="auto"/>
                                        <w:left w:val="none" w:sz="0" w:space="0" w:color="auto"/>
                                        <w:bottom w:val="none" w:sz="0" w:space="0" w:color="auto"/>
                                        <w:right w:val="none" w:sz="0" w:space="0" w:color="auto"/>
                                      </w:divBdr>
                                    </w:div>
                                    <w:div w:id="915359477">
                                      <w:marLeft w:val="0"/>
                                      <w:marRight w:val="0"/>
                                      <w:marTop w:val="0"/>
                                      <w:marBottom w:val="0"/>
                                      <w:divBdr>
                                        <w:top w:val="none" w:sz="0" w:space="0" w:color="auto"/>
                                        <w:left w:val="none" w:sz="0" w:space="0" w:color="auto"/>
                                        <w:bottom w:val="none" w:sz="0" w:space="0" w:color="auto"/>
                                        <w:right w:val="none" w:sz="0" w:space="0" w:color="auto"/>
                                      </w:divBdr>
                                    </w:div>
                                    <w:div w:id="937522096">
                                      <w:marLeft w:val="0"/>
                                      <w:marRight w:val="0"/>
                                      <w:marTop w:val="0"/>
                                      <w:marBottom w:val="0"/>
                                      <w:divBdr>
                                        <w:top w:val="none" w:sz="0" w:space="0" w:color="auto"/>
                                        <w:left w:val="none" w:sz="0" w:space="0" w:color="auto"/>
                                        <w:bottom w:val="none" w:sz="0" w:space="0" w:color="auto"/>
                                        <w:right w:val="none" w:sz="0" w:space="0" w:color="auto"/>
                                      </w:divBdr>
                                    </w:div>
                                    <w:div w:id="1052969691">
                                      <w:marLeft w:val="0"/>
                                      <w:marRight w:val="0"/>
                                      <w:marTop w:val="0"/>
                                      <w:marBottom w:val="0"/>
                                      <w:divBdr>
                                        <w:top w:val="none" w:sz="0" w:space="0" w:color="auto"/>
                                        <w:left w:val="none" w:sz="0" w:space="0" w:color="auto"/>
                                        <w:bottom w:val="none" w:sz="0" w:space="0" w:color="auto"/>
                                        <w:right w:val="none" w:sz="0" w:space="0" w:color="auto"/>
                                      </w:divBdr>
                                    </w:div>
                                    <w:div w:id="1451893638">
                                      <w:marLeft w:val="0"/>
                                      <w:marRight w:val="0"/>
                                      <w:marTop w:val="0"/>
                                      <w:marBottom w:val="0"/>
                                      <w:divBdr>
                                        <w:top w:val="none" w:sz="0" w:space="0" w:color="auto"/>
                                        <w:left w:val="none" w:sz="0" w:space="0" w:color="auto"/>
                                        <w:bottom w:val="none" w:sz="0" w:space="0" w:color="auto"/>
                                        <w:right w:val="none" w:sz="0" w:space="0" w:color="auto"/>
                                      </w:divBdr>
                                    </w:div>
                                    <w:div w:id="1656832166">
                                      <w:marLeft w:val="0"/>
                                      <w:marRight w:val="0"/>
                                      <w:marTop w:val="0"/>
                                      <w:marBottom w:val="0"/>
                                      <w:divBdr>
                                        <w:top w:val="none" w:sz="0" w:space="0" w:color="auto"/>
                                        <w:left w:val="none" w:sz="0" w:space="0" w:color="auto"/>
                                        <w:bottom w:val="none" w:sz="0" w:space="0" w:color="auto"/>
                                        <w:right w:val="none" w:sz="0" w:space="0" w:color="auto"/>
                                      </w:divBdr>
                                    </w:div>
                                    <w:div w:id="196287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190232">
      <w:bodyDiv w:val="1"/>
      <w:marLeft w:val="0"/>
      <w:marRight w:val="0"/>
      <w:marTop w:val="0"/>
      <w:marBottom w:val="0"/>
      <w:divBdr>
        <w:top w:val="none" w:sz="0" w:space="0" w:color="auto"/>
        <w:left w:val="none" w:sz="0" w:space="0" w:color="auto"/>
        <w:bottom w:val="none" w:sz="0" w:space="0" w:color="auto"/>
        <w:right w:val="none" w:sz="0" w:space="0" w:color="auto"/>
      </w:divBdr>
      <w:divsChild>
        <w:div w:id="1848053708">
          <w:marLeft w:val="0"/>
          <w:marRight w:val="0"/>
          <w:marTop w:val="150"/>
          <w:marBottom w:val="150"/>
          <w:divBdr>
            <w:top w:val="none" w:sz="0" w:space="0" w:color="auto"/>
            <w:left w:val="none" w:sz="0" w:space="0" w:color="auto"/>
            <w:bottom w:val="none" w:sz="0" w:space="0" w:color="auto"/>
            <w:right w:val="none" w:sz="0" w:space="0" w:color="auto"/>
          </w:divBdr>
        </w:div>
        <w:div w:id="494612883">
          <w:marLeft w:val="0"/>
          <w:marRight w:val="0"/>
          <w:marTop w:val="150"/>
          <w:marBottom w:val="150"/>
          <w:divBdr>
            <w:top w:val="none" w:sz="0" w:space="0" w:color="auto"/>
            <w:left w:val="none" w:sz="0" w:space="0" w:color="auto"/>
            <w:bottom w:val="none" w:sz="0" w:space="0" w:color="auto"/>
            <w:right w:val="none" w:sz="0" w:space="0" w:color="auto"/>
          </w:divBdr>
        </w:div>
      </w:divsChild>
    </w:div>
    <w:div w:id="1774477419">
      <w:bodyDiv w:val="1"/>
      <w:marLeft w:val="0"/>
      <w:marRight w:val="0"/>
      <w:marTop w:val="0"/>
      <w:marBottom w:val="0"/>
      <w:divBdr>
        <w:top w:val="none" w:sz="0" w:space="0" w:color="auto"/>
        <w:left w:val="none" w:sz="0" w:space="0" w:color="auto"/>
        <w:bottom w:val="none" w:sz="0" w:space="0" w:color="auto"/>
        <w:right w:val="none" w:sz="0" w:space="0" w:color="auto"/>
      </w:divBdr>
    </w:div>
    <w:div w:id="1823961774">
      <w:bodyDiv w:val="1"/>
      <w:marLeft w:val="0"/>
      <w:marRight w:val="0"/>
      <w:marTop w:val="0"/>
      <w:marBottom w:val="0"/>
      <w:divBdr>
        <w:top w:val="none" w:sz="0" w:space="0" w:color="auto"/>
        <w:left w:val="none" w:sz="0" w:space="0" w:color="auto"/>
        <w:bottom w:val="none" w:sz="0" w:space="0" w:color="auto"/>
        <w:right w:val="none" w:sz="0" w:space="0" w:color="auto"/>
      </w:divBdr>
    </w:div>
    <w:div w:id="1849446756">
      <w:bodyDiv w:val="1"/>
      <w:marLeft w:val="0"/>
      <w:marRight w:val="0"/>
      <w:marTop w:val="0"/>
      <w:marBottom w:val="0"/>
      <w:divBdr>
        <w:top w:val="none" w:sz="0" w:space="0" w:color="auto"/>
        <w:left w:val="none" w:sz="0" w:space="0" w:color="auto"/>
        <w:bottom w:val="none" w:sz="0" w:space="0" w:color="auto"/>
        <w:right w:val="none" w:sz="0" w:space="0" w:color="auto"/>
      </w:divBdr>
    </w:div>
    <w:div w:id="1896117513">
      <w:bodyDiv w:val="1"/>
      <w:marLeft w:val="0"/>
      <w:marRight w:val="0"/>
      <w:marTop w:val="0"/>
      <w:marBottom w:val="0"/>
      <w:divBdr>
        <w:top w:val="none" w:sz="0" w:space="0" w:color="auto"/>
        <w:left w:val="none" w:sz="0" w:space="0" w:color="auto"/>
        <w:bottom w:val="none" w:sz="0" w:space="0" w:color="auto"/>
        <w:right w:val="none" w:sz="0" w:space="0" w:color="auto"/>
      </w:divBdr>
    </w:div>
    <w:div w:id="1967852024">
      <w:bodyDiv w:val="1"/>
      <w:marLeft w:val="0"/>
      <w:marRight w:val="0"/>
      <w:marTop w:val="0"/>
      <w:marBottom w:val="0"/>
      <w:divBdr>
        <w:top w:val="none" w:sz="0" w:space="0" w:color="auto"/>
        <w:left w:val="none" w:sz="0" w:space="0" w:color="auto"/>
        <w:bottom w:val="none" w:sz="0" w:space="0" w:color="auto"/>
        <w:right w:val="none" w:sz="0" w:space="0" w:color="auto"/>
      </w:divBdr>
      <w:divsChild>
        <w:div w:id="1333725494">
          <w:marLeft w:val="0"/>
          <w:marRight w:val="0"/>
          <w:marTop w:val="300"/>
          <w:marBottom w:val="300"/>
          <w:divBdr>
            <w:top w:val="none" w:sz="0" w:space="0" w:color="auto"/>
            <w:left w:val="none" w:sz="0" w:space="0" w:color="auto"/>
            <w:bottom w:val="none" w:sz="0" w:space="0" w:color="auto"/>
            <w:right w:val="none" w:sz="0" w:space="0" w:color="auto"/>
          </w:divBdr>
          <w:divsChild>
            <w:div w:id="2273070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24435932">
      <w:bodyDiv w:val="1"/>
      <w:marLeft w:val="0"/>
      <w:marRight w:val="0"/>
      <w:marTop w:val="0"/>
      <w:marBottom w:val="0"/>
      <w:divBdr>
        <w:top w:val="none" w:sz="0" w:space="0" w:color="auto"/>
        <w:left w:val="none" w:sz="0" w:space="0" w:color="auto"/>
        <w:bottom w:val="none" w:sz="0" w:space="0" w:color="auto"/>
        <w:right w:val="none" w:sz="0" w:space="0" w:color="auto"/>
      </w:divBdr>
    </w:div>
    <w:div w:id="2037655200">
      <w:bodyDiv w:val="1"/>
      <w:marLeft w:val="0"/>
      <w:marRight w:val="0"/>
      <w:marTop w:val="0"/>
      <w:marBottom w:val="0"/>
      <w:divBdr>
        <w:top w:val="none" w:sz="0" w:space="0" w:color="auto"/>
        <w:left w:val="none" w:sz="0" w:space="0" w:color="auto"/>
        <w:bottom w:val="none" w:sz="0" w:space="0" w:color="auto"/>
        <w:right w:val="none" w:sz="0" w:space="0" w:color="auto"/>
      </w:divBdr>
    </w:div>
    <w:div w:id="2082293271">
      <w:bodyDiv w:val="1"/>
      <w:marLeft w:val="0"/>
      <w:marRight w:val="0"/>
      <w:marTop w:val="0"/>
      <w:marBottom w:val="0"/>
      <w:divBdr>
        <w:top w:val="none" w:sz="0" w:space="0" w:color="auto"/>
        <w:left w:val="none" w:sz="0" w:space="0" w:color="auto"/>
        <w:bottom w:val="none" w:sz="0" w:space="0" w:color="auto"/>
        <w:right w:val="none" w:sz="0" w:space="0" w:color="auto"/>
      </w:divBdr>
      <w:divsChild>
        <w:div w:id="1122185365">
          <w:marLeft w:val="0"/>
          <w:marRight w:val="0"/>
          <w:marTop w:val="150"/>
          <w:marBottom w:val="150"/>
          <w:divBdr>
            <w:top w:val="none" w:sz="0" w:space="0" w:color="auto"/>
            <w:left w:val="none" w:sz="0" w:space="0" w:color="auto"/>
            <w:bottom w:val="none" w:sz="0" w:space="0" w:color="auto"/>
            <w:right w:val="none" w:sz="0" w:space="0" w:color="auto"/>
          </w:divBdr>
        </w:div>
        <w:div w:id="133460360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art.deloitte.com/USDART/home/publications/deloitte/heads-up/2025/fasb-asu-2025-03-identifying-acquirer-business-combination-variable-interest-entity-vie-asc-805" TargetMode="External"/><Relationship Id="rId18" Type="http://schemas.openxmlformats.org/officeDocument/2006/relationships/hyperlink" Target="https://dart.deloitte.com/USDART/home/codification/broad-transactions/asc805-10-55" TargetMode="External"/><Relationship Id="rId26" Type="http://schemas.openxmlformats.org/officeDocument/2006/relationships/hyperlink" Target="https://dart.deloitte.com/USDART/home/codification/expenses/71x/asc718-10-15" TargetMode="External"/><Relationship Id="rId3" Type="http://schemas.openxmlformats.org/officeDocument/2006/relationships/styles" Target="styles.xml"/><Relationship Id="rId21" Type="http://schemas.openxmlformats.org/officeDocument/2006/relationships/hyperlink" Target="https://dart.deloitte.com/USDART/home/codification/broad-transactions/asc805-50-25" TargetMode="External"/><Relationship Id="rId7" Type="http://schemas.openxmlformats.org/officeDocument/2006/relationships/endnotes" Target="endnotes.xml"/><Relationship Id="rId12" Type="http://schemas.openxmlformats.org/officeDocument/2006/relationships/hyperlink" Target="https://www.fasb.org/page/ShowPdf?path=ASU%202025-03.pdf&amp;title=Accounting%20Standards%20Update%20No.%202025-03%20Business%20Combinations%20(Topic%20805)%20and%20Consolidation%20(Topic%208" TargetMode="External"/><Relationship Id="rId17" Type="http://schemas.openxmlformats.org/officeDocument/2006/relationships/hyperlink" Target="https://www.fasb.org/page/ShowPdf?path=ASU%202025-03.pdf&amp;title=Accounting%20Standards%20Update%20No.%202025-03%20Business%20Combinations%20(Topic%20805)%20and%20Consolidation%20(Topic%208" TargetMode="External"/><Relationship Id="rId25" Type="http://schemas.openxmlformats.org/officeDocument/2006/relationships/hyperlink" Target="https://dart.deloitte.com/USDART/home/codification/revenue/asc606-10-6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art.deloitte.com/USDART/home/publications/deloitte/heads-up/2025/asu-2025-04-fasb-clarifies-guidance-share-based-consideration-payable-customer" TargetMode="External"/><Relationship Id="rId20" Type="http://schemas.openxmlformats.org/officeDocument/2006/relationships/hyperlink" Target="https://dart.deloitte.com/USDART/home/codification/broad-transactions/asc805-10-25"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sb.org/page/ShowPdf?path=ASU%202025-03.pdf&amp;title=Accounting%20Standards%20Update%20No.%202025-03%20Business%20Combinations%20(Topic%20805)%20and%20Consolidation%20(Topic%208" TargetMode="External"/><Relationship Id="rId24" Type="http://schemas.openxmlformats.org/officeDocument/2006/relationships/hyperlink" Target="https://dart.deloitte.com/USDART/home/codification/revenue/asc606-10-5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asb.org/page/ShowPdf?path=ASU%202025-04.pdf&amp;title=ASU%202025-04%E2%80%94Compensation%E2%80%94Stock%20Compensation%20(Topic%20718)%20and%20Revenue%20from%20Contracts%20with%20Customers%20(T" TargetMode="External"/><Relationship Id="rId23" Type="http://schemas.openxmlformats.org/officeDocument/2006/relationships/hyperlink" Target="https://www.fasb.org/page/ShowPdf?path=ASU%202025-04.pdf&amp;title=ASU%202025-04%E2%80%94Compensation%E2%80%94Stock%20Compensation%20(Topic%20718)%20and%20Revenue%20from%20Contracts%20with%20Customers%20(T" TargetMode="External"/><Relationship Id="rId28" Type="http://schemas.openxmlformats.org/officeDocument/2006/relationships/hyperlink" Target="https://dart.deloitte.com/USDART/home/codification/expenses/71x/asc718-10-35" TargetMode="External"/><Relationship Id="rId10" Type="http://schemas.openxmlformats.org/officeDocument/2006/relationships/hyperlink" Target="https://checklist.deloitte.com" TargetMode="External"/><Relationship Id="rId19" Type="http://schemas.openxmlformats.org/officeDocument/2006/relationships/hyperlink" Target="https://dart.deloitte.com/USDART/home/codification/broad-transactions/asc805-10-65" TargetMode="External"/><Relationship Id="rId31" Type="http://schemas.openxmlformats.org/officeDocument/2006/relationships/hyperlink" Target="http://www.deloitte.com/abou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asb.org/page/ShowPdf?path=ASU%202025-04.pdf&amp;title=ASU%202025-04%E2%80%94Compensation%E2%80%94Stock%20Compensation%20(Topic%20718)%20and%20Revenue%20from%20Contracts%20with%20Customers%20(T" TargetMode="External"/><Relationship Id="rId22" Type="http://schemas.openxmlformats.org/officeDocument/2006/relationships/hyperlink" Target="https://dart.deloitte.com/USDART/home/codification/broad-transactions/asc810-10-30" TargetMode="External"/><Relationship Id="rId27" Type="http://schemas.openxmlformats.org/officeDocument/2006/relationships/hyperlink" Target="https://dart.deloitte.com/USDART/home/codification/revenue/asc606-10-32" TargetMode="External"/><Relationship Id="rId30"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1_Deloitte_US_Brand">
  <a:themeElements>
    <a:clrScheme name="Deloitte colors">
      <a:dk1>
        <a:sysClr val="windowText" lastClr="000000"/>
      </a:dk1>
      <a:lt1>
        <a:sysClr val="window" lastClr="FFFFFF"/>
      </a:lt1>
      <a:dk2>
        <a:srgbClr val="53565A"/>
      </a:dk2>
      <a:lt2>
        <a:srgbClr val="D0D0CE"/>
      </a:lt2>
      <a:accent1>
        <a:srgbClr val="86BC25"/>
      </a:accent1>
      <a:accent2>
        <a:srgbClr val="046A38"/>
      </a:accent2>
      <a:accent3>
        <a:srgbClr val="62B5E5"/>
      </a:accent3>
      <a:accent4>
        <a:srgbClr val="012169"/>
      </a:accent4>
      <a:accent5>
        <a:srgbClr val="0097A9"/>
      </a:accent5>
      <a:accent6>
        <a:srgbClr val="75787B"/>
      </a:accent6>
      <a:hlink>
        <a:srgbClr val="00A3E0"/>
      </a:hlink>
      <a:folHlink>
        <a:srgbClr val="53565A"/>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1_Deloitte_US_Brand" id="{82EDE4DA-E974-4900-A9A9-37819C498CD8}" vid="{20E7B3A3-86E8-4E82-A38B-4AA3E2C07C7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1DDEE-DB1B-456B-BD8C-B51E33375C4B}">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5</Pages>
  <Words>1652</Words>
  <Characters>9419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11049</CharactersWithSpaces>
  <SharedDoc>false</SharedDoc>
  <HLinks>
    <vt:vector size="48" baseType="variant">
      <vt:variant>
        <vt:i4>7929924</vt:i4>
      </vt:variant>
      <vt:variant>
        <vt:i4>15</vt:i4>
      </vt:variant>
      <vt:variant>
        <vt:i4>0</vt:i4>
      </vt:variant>
      <vt:variant>
        <vt:i4>5</vt:i4>
      </vt:variant>
      <vt:variant>
        <vt:lpwstr>https://techlib.deloitte.com/default.aspx?view=content&amp;id=2_1136302%231136352</vt:lpwstr>
      </vt:variant>
      <vt:variant>
        <vt:lpwstr/>
      </vt:variant>
      <vt:variant>
        <vt:i4>7929924</vt:i4>
      </vt:variant>
      <vt:variant>
        <vt:i4>12</vt:i4>
      </vt:variant>
      <vt:variant>
        <vt:i4>0</vt:i4>
      </vt:variant>
      <vt:variant>
        <vt:i4>5</vt:i4>
      </vt:variant>
      <vt:variant>
        <vt:lpwstr>https://techlib.deloitte.com/default.aspx?view=content&amp;id=2_1136302%231136352</vt:lpwstr>
      </vt:variant>
      <vt:variant>
        <vt:lpwstr/>
      </vt:variant>
      <vt:variant>
        <vt:i4>7929924</vt:i4>
      </vt:variant>
      <vt:variant>
        <vt:i4>9</vt:i4>
      </vt:variant>
      <vt:variant>
        <vt:i4>0</vt:i4>
      </vt:variant>
      <vt:variant>
        <vt:i4>5</vt:i4>
      </vt:variant>
      <vt:variant>
        <vt:lpwstr>https://techlib.deloitte.com/default.aspx?view=content&amp;id=2_1136302%231136352</vt:lpwstr>
      </vt:variant>
      <vt:variant>
        <vt:lpwstr/>
      </vt:variant>
      <vt:variant>
        <vt:i4>8192068</vt:i4>
      </vt:variant>
      <vt:variant>
        <vt:i4>6</vt:i4>
      </vt:variant>
      <vt:variant>
        <vt:i4>0</vt:i4>
      </vt:variant>
      <vt:variant>
        <vt:i4>5</vt:i4>
      </vt:variant>
      <vt:variant>
        <vt:lpwstr>https://techlib.deloitte.com/default.aspx?view=content&amp;id=2_1132242%231132256</vt:lpwstr>
      </vt:variant>
      <vt:variant>
        <vt:lpwstr/>
      </vt:variant>
      <vt:variant>
        <vt:i4>5505138</vt:i4>
      </vt:variant>
      <vt:variant>
        <vt:i4>3</vt:i4>
      </vt:variant>
      <vt:variant>
        <vt:i4>0</vt:i4>
      </vt:variant>
      <vt:variant>
        <vt:i4>5</vt:i4>
      </vt:variant>
      <vt:variant>
        <vt:lpwstr>https://techlib.deloitte.com/default.aspx?view=content&amp;id=2_310956</vt:lpwstr>
      </vt:variant>
      <vt:variant>
        <vt:lpwstr/>
      </vt:variant>
      <vt:variant>
        <vt:i4>5243006</vt:i4>
      </vt:variant>
      <vt:variant>
        <vt:i4>0</vt:i4>
      </vt:variant>
      <vt:variant>
        <vt:i4>0</vt:i4>
      </vt:variant>
      <vt:variant>
        <vt:i4>5</vt:i4>
      </vt:variant>
      <vt:variant>
        <vt:lpwstr>https://techlib.deloitte.com/default.aspx?view=content&amp;id=2_129129</vt:lpwstr>
      </vt:variant>
      <vt:variant>
        <vt:lpwstr/>
      </vt:variant>
      <vt:variant>
        <vt:i4>5832712</vt:i4>
      </vt:variant>
      <vt:variant>
        <vt:i4>3</vt:i4>
      </vt:variant>
      <vt:variant>
        <vt:i4>0</vt:i4>
      </vt:variant>
      <vt:variant>
        <vt:i4>5</vt:i4>
      </vt:variant>
      <vt:variant>
        <vt:lpwstr>http://www.deloitte.com/us/about</vt:lpwstr>
      </vt:variant>
      <vt:variant>
        <vt:lpwstr/>
      </vt:variant>
      <vt:variant>
        <vt:i4>4653131</vt:i4>
      </vt:variant>
      <vt:variant>
        <vt:i4>0</vt:i4>
      </vt:variant>
      <vt:variant>
        <vt:i4>0</vt:i4>
      </vt:variant>
      <vt:variant>
        <vt:i4>5</vt:i4>
      </vt:variant>
      <vt:variant>
        <vt:lpwstr>http://www.deloitte.com/about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Amaral, Jorge</cp:lastModifiedBy>
  <cp:revision>6</cp:revision>
  <cp:lastPrinted>2018-03-28T15:21:00Z</cp:lastPrinted>
  <dcterms:created xsi:type="dcterms:W3CDTF">2025-07-01T12:58:00Z</dcterms:created>
  <dcterms:modified xsi:type="dcterms:W3CDTF">2025-07-01T13:24:00Z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2021-12-16T13:12:29Z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54ad4e5c-e6e2-4aca-aa8c-4b65c66ded3d</vt:lpwstr>
  </property>
  <property fmtid="{D5CDD505-2E9C-101B-9397-08002B2CF9AE}" pid="8" name="MSIP_Label_ea60d57e-af5b-4752-ac57-3e4f28ca11dc_ContentBits">
    <vt:lpwstr>0</vt:lpwstr>
  </property>
</Properties>
</file>