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EB46" w14:textId="19C6487A" w:rsidR="00502AED" w:rsidRPr="00502AED" w:rsidRDefault="00502AED" w:rsidP="00502AED">
      <w:pPr>
        <w:pStyle w:val="PGADateSubtitle"/>
        <w:spacing w:after="120"/>
        <w:rPr>
          <w:rFonts w:ascii="Aptos" w:hAnsi="Aptos" w:cs="Calibri Light"/>
          <w:bCs/>
          <w:szCs w:val="40"/>
        </w:rPr>
      </w:pPr>
      <w:r w:rsidRPr="00502AED">
        <w:rPr>
          <w:rFonts w:ascii="Aptos" w:hAnsi="Aptos" w:cs="Calibri Light"/>
          <w:bCs/>
          <w:noProof/>
          <w:szCs w:val="40"/>
        </w:rPr>
        <w:drawing>
          <wp:anchor distT="91440" distB="91440" distL="114300" distR="114300" simplePos="0" relativeHeight="251659266" behindDoc="0" locked="0" layoutInCell="1" allowOverlap="0" wp14:anchorId="5D25B6A6" wp14:editId="5F1F8E52">
            <wp:simplePos x="0" y="0"/>
            <wp:positionH relativeFrom="column">
              <wp:posOffset>247650</wp:posOffset>
            </wp:positionH>
            <wp:positionV relativeFrom="paragraph">
              <wp:posOffset>410845</wp:posOffset>
            </wp:positionV>
            <wp:extent cx="5486400" cy="5486400"/>
            <wp:effectExtent l="0" t="0" r="0" b="0"/>
            <wp:wrapTopAndBottom/>
            <wp:docPr id="446116568" name="Picture 1" descr="A ball made of colorful blo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16568" name="Picture 1" descr="A ball made of colorful block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486400" cy="5486400"/>
                    </a:xfrm>
                    <a:prstGeom prst="rect">
                      <a:avLst/>
                    </a:prstGeom>
                  </pic:spPr>
                </pic:pic>
              </a:graphicData>
            </a:graphic>
            <wp14:sizeRelH relativeFrom="margin">
              <wp14:pctWidth>0</wp14:pctWidth>
            </wp14:sizeRelH>
            <wp14:sizeRelV relativeFrom="margin">
              <wp14:pctHeight>0</wp14:pctHeight>
            </wp14:sizeRelV>
          </wp:anchor>
        </w:drawing>
      </w:r>
    </w:p>
    <w:p w14:paraId="416983BF" w14:textId="6EFA7738" w:rsidR="007E233F" w:rsidRPr="00502AED" w:rsidRDefault="00E668C3" w:rsidP="00502AED">
      <w:pPr>
        <w:pStyle w:val="PGADateSubtitle"/>
        <w:spacing w:after="120"/>
        <w:rPr>
          <w:rFonts w:ascii="Aptos" w:hAnsi="Aptos" w:cs="Calibri Light"/>
          <w:bCs/>
          <w:sz w:val="44"/>
          <w:szCs w:val="44"/>
        </w:rPr>
      </w:pPr>
      <w:r w:rsidRPr="00502AED">
        <w:rPr>
          <w:rFonts w:ascii="Aptos" w:hAnsi="Aptos" w:cs="Calibri Light"/>
          <w:bCs/>
          <w:noProof/>
          <w:sz w:val="44"/>
          <w:szCs w:val="44"/>
        </w:rPr>
        <w:drawing>
          <wp:anchor distT="0" distB="0" distL="114300" distR="114300" simplePos="0" relativeHeight="251658240" behindDoc="0" locked="1" layoutInCell="1" allowOverlap="1" wp14:anchorId="0C19C85A" wp14:editId="563262F8">
            <wp:simplePos x="0" y="0"/>
            <wp:positionH relativeFrom="page">
              <wp:posOffset>666750</wp:posOffset>
            </wp:positionH>
            <wp:positionV relativeFrom="page">
              <wp:posOffset>412750</wp:posOffset>
            </wp:positionV>
            <wp:extent cx="1831975" cy="3454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l_logo proposal cov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1975" cy="345440"/>
                    </a:xfrm>
                    <a:prstGeom prst="rect">
                      <a:avLst/>
                    </a:prstGeom>
                  </pic:spPr>
                </pic:pic>
              </a:graphicData>
            </a:graphic>
            <wp14:sizeRelH relativeFrom="margin">
              <wp14:pctWidth>0</wp14:pctWidth>
            </wp14:sizeRelH>
            <wp14:sizeRelV relativeFrom="margin">
              <wp14:pctHeight>0</wp14:pctHeight>
            </wp14:sizeRelV>
          </wp:anchor>
        </w:drawing>
      </w:r>
      <w:r w:rsidR="007E233F" w:rsidRPr="00502AED">
        <w:rPr>
          <w:rFonts w:ascii="Aptos" w:hAnsi="Aptos" w:cs="Calibri Light"/>
          <w:bCs/>
          <w:sz w:val="44"/>
          <w:szCs w:val="44"/>
        </w:rPr>
        <w:t>Use of This Quarterly Update</w:t>
      </w:r>
    </w:p>
    <w:p w14:paraId="03976307" w14:textId="4DE9DEC8" w:rsidR="00493116" w:rsidRPr="00502AED" w:rsidRDefault="00493116" w:rsidP="00502AED">
      <w:pPr>
        <w:pStyle w:val="PGADateSubtitle"/>
        <w:spacing w:after="120"/>
        <w:rPr>
          <w:rFonts w:ascii="Aptos" w:hAnsi="Aptos" w:cs="Calibri Light"/>
          <w:sz w:val="44"/>
          <w:szCs w:val="44"/>
        </w:rPr>
      </w:pPr>
      <w:r w:rsidRPr="00502AED">
        <w:rPr>
          <w:rFonts w:ascii="Aptos" w:hAnsi="Aptos" w:cs="Calibri Light"/>
          <w:sz w:val="44"/>
          <w:szCs w:val="44"/>
        </w:rPr>
        <w:t xml:space="preserve">U.S. GAAP Checklist </w:t>
      </w:r>
      <w:bookmarkStart w:id="0" w:name="_Hlk147404646"/>
      <w:r w:rsidRPr="00502AED">
        <w:rPr>
          <w:rFonts w:ascii="Aptos" w:hAnsi="Aptos" w:cs="Calibri Light"/>
          <w:sz w:val="44"/>
          <w:szCs w:val="44"/>
        </w:rPr>
        <w:t>—</w:t>
      </w:r>
      <w:bookmarkEnd w:id="0"/>
      <w:r w:rsidRPr="00502AED">
        <w:rPr>
          <w:rFonts w:ascii="Aptos" w:hAnsi="Aptos" w:cs="Calibri Light"/>
          <w:sz w:val="44"/>
          <w:szCs w:val="44"/>
        </w:rPr>
        <w:t xml:space="preserve"> </w:t>
      </w:r>
      <w:r w:rsidRPr="00502AED">
        <w:rPr>
          <w:rFonts w:ascii="Aptos" w:hAnsi="Aptos"/>
          <w:sz w:val="28"/>
          <w:szCs w:val="16"/>
        </w:rPr>
        <w:br/>
      </w:r>
      <w:r w:rsidRPr="00502AED">
        <w:rPr>
          <w:rFonts w:ascii="Aptos" w:hAnsi="Aptos" w:cs="Calibri Light"/>
          <w:sz w:val="44"/>
          <w:szCs w:val="44"/>
        </w:rPr>
        <w:t xml:space="preserve">Quarterly Update: </w:t>
      </w:r>
      <w:r w:rsidR="007933B4" w:rsidRPr="00502AED">
        <w:rPr>
          <w:rFonts w:ascii="Aptos" w:hAnsi="Aptos" w:cs="Calibri Light"/>
          <w:sz w:val="44"/>
          <w:szCs w:val="44"/>
        </w:rPr>
        <w:t xml:space="preserve">Third </w:t>
      </w:r>
      <w:r w:rsidRPr="00502AED">
        <w:rPr>
          <w:rFonts w:ascii="Aptos" w:hAnsi="Aptos" w:cs="Calibri Light"/>
          <w:sz w:val="44"/>
          <w:szCs w:val="44"/>
        </w:rPr>
        <w:t>Quarter</w:t>
      </w:r>
    </w:p>
    <w:p w14:paraId="06B2192B" w14:textId="4EAA9266" w:rsidR="00493116" w:rsidRPr="00502AED" w:rsidRDefault="00B55E03" w:rsidP="7293FABD">
      <w:pPr>
        <w:pStyle w:val="PGADateSubtitle"/>
        <w:spacing w:before="360"/>
        <w:rPr>
          <w:rFonts w:ascii="Aptos" w:hAnsi="Aptos" w:cs="Calibri Light"/>
          <w:sz w:val="36"/>
          <w:szCs w:val="20"/>
        </w:rPr>
      </w:pPr>
      <w:r w:rsidRPr="00502AED">
        <w:rPr>
          <w:rFonts w:ascii="Aptos" w:hAnsi="Aptos" w:cs="Calibri Light"/>
          <w:sz w:val="36"/>
          <w:szCs w:val="20"/>
        </w:rPr>
        <w:t xml:space="preserve">October </w:t>
      </w:r>
      <w:r w:rsidR="006F5277" w:rsidRPr="00502AED">
        <w:rPr>
          <w:rFonts w:ascii="Aptos" w:hAnsi="Aptos" w:cs="Calibri Light"/>
          <w:sz w:val="36"/>
          <w:szCs w:val="20"/>
        </w:rPr>
        <w:t>202</w:t>
      </w:r>
      <w:r w:rsidR="002F7186" w:rsidRPr="00502AED">
        <w:rPr>
          <w:rFonts w:ascii="Aptos" w:hAnsi="Aptos" w:cs="Calibri Light"/>
          <w:sz w:val="36"/>
          <w:szCs w:val="20"/>
        </w:rPr>
        <w:t>5</w:t>
      </w:r>
    </w:p>
    <w:p w14:paraId="2B9BF781" w14:textId="6E2F3916" w:rsidR="00493116" w:rsidRPr="00057262" w:rsidRDefault="00493116" w:rsidP="0039690E">
      <w:pPr>
        <w:spacing w:before="240"/>
        <w:rPr>
          <w:rFonts w:ascii="Aptos" w:eastAsiaTheme="minorHAnsi" w:hAnsi="Aptos" w:cs="Calibri Light"/>
        </w:rPr>
      </w:pPr>
      <w:r w:rsidRPr="00057262">
        <w:rPr>
          <w:rFonts w:ascii="Aptos" w:eastAsiaTheme="minorHAnsi" w:hAnsi="Aptos" w:cs="Calibri Light"/>
        </w:rPr>
        <w:br w:type="page"/>
      </w:r>
    </w:p>
    <w:p w14:paraId="07EFFC26" w14:textId="5F04D448" w:rsidR="0035100C" w:rsidRPr="00057262" w:rsidRDefault="00094789" w:rsidP="00C72910">
      <w:pPr>
        <w:rPr>
          <w:rFonts w:ascii="Aptos" w:hAnsi="Aptos" w:cs="Calibri Light"/>
          <w:color w:val="000000" w:themeColor="text1"/>
        </w:rPr>
      </w:pPr>
      <w:r w:rsidRPr="00057262">
        <w:rPr>
          <w:rFonts w:ascii="Aptos" w:eastAsiaTheme="minorEastAsia" w:hAnsi="Aptos" w:cs="Calibri Light"/>
        </w:rPr>
        <w:lastRenderedPageBreak/>
        <w:t xml:space="preserve">The </w:t>
      </w:r>
      <w:r w:rsidR="004C23AC" w:rsidRPr="00057262">
        <w:rPr>
          <w:rFonts w:ascii="Aptos" w:eastAsiaTheme="minorEastAsia" w:hAnsi="Aptos" w:cs="Calibri Light"/>
        </w:rPr>
        <w:t xml:space="preserve">content of the </w:t>
      </w:r>
      <w:r w:rsidRPr="00057262">
        <w:rPr>
          <w:rFonts w:ascii="Aptos" w:eastAsiaTheme="minorEastAsia" w:hAnsi="Aptos" w:cs="Calibri Light"/>
        </w:rPr>
        <w:t xml:space="preserve">U.S. GAAP Checklist has </w:t>
      </w:r>
      <w:proofErr w:type="gramStart"/>
      <w:r w:rsidRPr="00057262">
        <w:rPr>
          <w:rFonts w:ascii="Aptos" w:eastAsiaTheme="minorEastAsia" w:hAnsi="Aptos" w:cs="Calibri Light"/>
        </w:rPr>
        <w:t>been revised</w:t>
      </w:r>
      <w:proofErr w:type="gramEnd"/>
      <w:r w:rsidRPr="00057262">
        <w:rPr>
          <w:rFonts w:ascii="Aptos" w:eastAsiaTheme="minorEastAsia" w:hAnsi="Aptos" w:cs="Calibri Light"/>
        </w:rPr>
        <w:t xml:space="preserve"> to reflect update</w:t>
      </w:r>
      <w:r w:rsidR="004F1F71" w:rsidRPr="00057262">
        <w:rPr>
          <w:rFonts w:ascii="Aptos" w:eastAsiaTheme="minorEastAsia" w:hAnsi="Aptos" w:cs="Calibri Light"/>
        </w:rPr>
        <w:t>s to</w:t>
      </w:r>
      <w:r w:rsidR="00536F9B" w:rsidRPr="00057262">
        <w:rPr>
          <w:rFonts w:ascii="Aptos" w:eastAsiaTheme="minorEastAsia" w:hAnsi="Aptos" w:cs="Calibri Light"/>
        </w:rPr>
        <w:t xml:space="preserve"> </w:t>
      </w:r>
      <w:r w:rsidRPr="00057262">
        <w:rPr>
          <w:rFonts w:ascii="Aptos" w:eastAsiaTheme="minorEastAsia" w:hAnsi="Aptos" w:cs="Calibri Light"/>
        </w:rPr>
        <w:t>professional pronouncements from</w:t>
      </w:r>
      <w:r w:rsidR="0061355B" w:rsidRPr="00057262">
        <w:rPr>
          <w:rFonts w:ascii="Aptos" w:eastAsiaTheme="minorEastAsia" w:hAnsi="Aptos" w:cs="Calibri Light"/>
        </w:rPr>
        <w:t xml:space="preserve"> </w:t>
      </w:r>
      <w:r w:rsidR="00B55E03" w:rsidRPr="00057262">
        <w:rPr>
          <w:rFonts w:ascii="Aptos" w:eastAsiaTheme="minorEastAsia" w:hAnsi="Aptos" w:cs="Calibri Light"/>
        </w:rPr>
        <w:t>July</w:t>
      </w:r>
      <w:r w:rsidR="002F7186" w:rsidRPr="00057262">
        <w:rPr>
          <w:rFonts w:ascii="Aptos" w:eastAsiaTheme="minorEastAsia" w:hAnsi="Aptos" w:cs="Calibri Light"/>
        </w:rPr>
        <w:t xml:space="preserve"> </w:t>
      </w:r>
      <w:r w:rsidR="00AF3E74" w:rsidRPr="00057262">
        <w:rPr>
          <w:rFonts w:ascii="Aptos" w:eastAsiaTheme="minorEastAsia" w:hAnsi="Aptos" w:cs="Calibri Light"/>
        </w:rPr>
        <w:t>1</w:t>
      </w:r>
      <w:r w:rsidR="006F5277" w:rsidRPr="00057262">
        <w:rPr>
          <w:rFonts w:ascii="Aptos" w:eastAsiaTheme="minorEastAsia" w:hAnsi="Aptos" w:cs="Calibri Light"/>
        </w:rPr>
        <w:t>, 202</w:t>
      </w:r>
      <w:r w:rsidR="00D83C77" w:rsidRPr="00057262">
        <w:rPr>
          <w:rFonts w:ascii="Aptos" w:eastAsiaTheme="minorEastAsia" w:hAnsi="Aptos" w:cs="Calibri Light"/>
        </w:rPr>
        <w:t>5</w:t>
      </w:r>
      <w:r w:rsidR="006F5277" w:rsidRPr="00057262">
        <w:rPr>
          <w:rFonts w:ascii="Aptos" w:eastAsiaTheme="minorEastAsia" w:hAnsi="Aptos" w:cs="Calibri Light"/>
        </w:rPr>
        <w:t xml:space="preserve">, through </w:t>
      </w:r>
      <w:r w:rsidR="00B55E03" w:rsidRPr="00057262">
        <w:rPr>
          <w:rFonts w:ascii="Aptos" w:eastAsiaTheme="minorEastAsia" w:hAnsi="Aptos" w:cs="Calibri Light"/>
        </w:rPr>
        <w:t>September</w:t>
      </w:r>
      <w:r w:rsidR="0011685C" w:rsidRPr="00057262">
        <w:rPr>
          <w:rFonts w:ascii="Aptos" w:eastAsiaTheme="minorEastAsia" w:hAnsi="Aptos" w:cs="Calibri Light"/>
        </w:rPr>
        <w:t xml:space="preserve"> </w:t>
      </w:r>
      <w:r w:rsidR="001A5B7A" w:rsidRPr="00057262">
        <w:rPr>
          <w:rFonts w:ascii="Aptos" w:eastAsiaTheme="minorEastAsia" w:hAnsi="Aptos" w:cs="Calibri Light"/>
        </w:rPr>
        <w:t>3</w:t>
      </w:r>
      <w:r w:rsidR="0011685C" w:rsidRPr="00057262">
        <w:rPr>
          <w:rFonts w:ascii="Aptos" w:eastAsiaTheme="minorEastAsia" w:hAnsi="Aptos" w:cs="Calibri Light"/>
        </w:rPr>
        <w:t>0</w:t>
      </w:r>
      <w:r w:rsidR="006F5277" w:rsidRPr="00057262">
        <w:rPr>
          <w:rFonts w:ascii="Aptos" w:eastAsiaTheme="minorEastAsia" w:hAnsi="Aptos" w:cs="Calibri Light"/>
        </w:rPr>
        <w:t>, 202</w:t>
      </w:r>
      <w:r w:rsidR="00D83C77" w:rsidRPr="00057262">
        <w:rPr>
          <w:rFonts w:ascii="Aptos" w:eastAsiaTheme="minorEastAsia" w:hAnsi="Aptos" w:cs="Calibri Light"/>
        </w:rPr>
        <w:t>5</w:t>
      </w:r>
      <w:r w:rsidRPr="00057262">
        <w:rPr>
          <w:rFonts w:ascii="Aptos" w:eastAsiaTheme="minorEastAsia" w:hAnsi="Aptos" w:cs="Calibri Light"/>
        </w:rPr>
        <w:t xml:space="preserve">. </w:t>
      </w:r>
      <w:r w:rsidR="00C612CD" w:rsidRPr="00057262">
        <w:rPr>
          <w:rFonts w:ascii="Aptos" w:eastAsiaTheme="minorEastAsia" w:hAnsi="Aptos" w:cs="Calibri Light"/>
        </w:rPr>
        <w:t xml:space="preserve">This supplement </w:t>
      </w:r>
      <w:r w:rsidR="00D57D3C" w:rsidRPr="00057262">
        <w:rPr>
          <w:rFonts w:ascii="Aptos" w:eastAsiaTheme="minorEastAsia" w:hAnsi="Aptos" w:cs="Calibri Light"/>
        </w:rPr>
        <w:t xml:space="preserve">describes </w:t>
      </w:r>
      <w:r w:rsidR="0061355B" w:rsidRPr="00057262">
        <w:rPr>
          <w:rFonts w:ascii="Aptos" w:eastAsiaTheme="minorEastAsia" w:hAnsi="Aptos" w:cs="Calibri Light"/>
        </w:rPr>
        <w:t xml:space="preserve">the </w:t>
      </w:r>
      <w:r w:rsidRPr="00057262">
        <w:rPr>
          <w:rFonts w:ascii="Aptos" w:eastAsiaTheme="minorEastAsia" w:hAnsi="Aptos" w:cs="Calibri Light"/>
        </w:rPr>
        <w:t>changes</w:t>
      </w:r>
      <w:r w:rsidR="00C612CD" w:rsidRPr="00057262">
        <w:rPr>
          <w:rFonts w:ascii="Aptos" w:eastAsiaTheme="minorEastAsia" w:hAnsi="Aptos" w:cs="Calibri Light"/>
        </w:rPr>
        <w:t xml:space="preserve"> to the</w:t>
      </w:r>
      <w:r w:rsidRPr="00057262">
        <w:rPr>
          <w:rFonts w:ascii="Aptos" w:eastAsiaTheme="minorEastAsia" w:hAnsi="Aptos" w:cs="Calibri Light"/>
        </w:rPr>
        <w:t xml:space="preserve"> FASB Accounting Standards Codification (</w:t>
      </w:r>
      <w:r w:rsidR="00D57D3C" w:rsidRPr="00057262">
        <w:rPr>
          <w:rFonts w:ascii="Aptos" w:eastAsiaTheme="minorEastAsia" w:hAnsi="Aptos" w:cs="Calibri Light"/>
        </w:rPr>
        <w:t xml:space="preserve">the </w:t>
      </w:r>
      <w:r w:rsidRPr="00057262">
        <w:rPr>
          <w:rFonts w:ascii="Aptos" w:eastAsiaTheme="minorEastAsia" w:hAnsi="Aptos" w:cs="Calibri Light"/>
        </w:rPr>
        <w:t>“Codification”)</w:t>
      </w:r>
      <w:r w:rsidR="00C612CD" w:rsidRPr="00057262">
        <w:rPr>
          <w:rFonts w:ascii="Aptos" w:eastAsiaTheme="minorEastAsia" w:hAnsi="Aptos" w:cs="Calibri Light"/>
        </w:rPr>
        <w:t xml:space="preserve"> </w:t>
      </w:r>
      <w:r w:rsidRPr="00057262">
        <w:rPr>
          <w:rFonts w:ascii="Aptos" w:eastAsiaTheme="minorEastAsia" w:hAnsi="Aptos" w:cs="Calibri Light"/>
        </w:rPr>
        <w:t>issued as Accounting Standards Updates (ASUs)</w:t>
      </w:r>
      <w:r w:rsidR="0061355B" w:rsidRPr="00057262">
        <w:rPr>
          <w:rFonts w:ascii="Aptos" w:eastAsiaTheme="minorEastAsia" w:hAnsi="Aptos" w:cs="Calibri Light"/>
        </w:rPr>
        <w:t xml:space="preserve"> for the most </w:t>
      </w:r>
      <w:r w:rsidR="000970EA" w:rsidRPr="00057262">
        <w:rPr>
          <w:rFonts w:ascii="Aptos" w:eastAsiaTheme="minorEastAsia" w:hAnsi="Aptos" w:cs="Calibri Light"/>
        </w:rPr>
        <w:t>r</w:t>
      </w:r>
      <w:r w:rsidR="0061355B" w:rsidRPr="00057262">
        <w:rPr>
          <w:rFonts w:ascii="Aptos" w:eastAsiaTheme="minorEastAsia" w:hAnsi="Aptos" w:cs="Calibri Light"/>
        </w:rPr>
        <w:t xml:space="preserve">ecent </w:t>
      </w:r>
      <w:r w:rsidR="00590EF2" w:rsidRPr="00057262">
        <w:rPr>
          <w:rFonts w:ascii="Aptos" w:eastAsiaTheme="minorEastAsia" w:hAnsi="Aptos" w:cs="Calibri Light"/>
        </w:rPr>
        <w:t>quarter</w:t>
      </w:r>
      <w:r w:rsidR="00C45DCF" w:rsidRPr="00057262">
        <w:rPr>
          <w:rFonts w:ascii="Aptos" w:eastAsiaTheme="minorEastAsia" w:hAnsi="Aptos" w:cs="Calibri Light"/>
        </w:rPr>
        <w:t xml:space="preserve"> ended</w:t>
      </w:r>
      <w:r w:rsidR="001F587B" w:rsidRPr="00057262">
        <w:rPr>
          <w:rFonts w:ascii="Aptos" w:eastAsiaTheme="minorEastAsia" w:hAnsi="Aptos" w:cs="Calibri Light"/>
        </w:rPr>
        <w:t>.</w:t>
      </w:r>
    </w:p>
    <w:p w14:paraId="1CA8F567" w14:textId="6BAB6B26" w:rsidR="005C729F" w:rsidRPr="00057262" w:rsidRDefault="00C72910" w:rsidP="00C72910">
      <w:pPr>
        <w:pStyle w:val="PAH2"/>
        <w:outlineLvl w:val="0"/>
        <w:rPr>
          <w:rFonts w:ascii="Aptos" w:hAnsi="Aptos" w:cs="Calibri Light"/>
          <w:b/>
          <w:bCs w:val="0"/>
          <w:i w:val="0"/>
          <w:color w:val="auto"/>
        </w:rPr>
      </w:pPr>
      <w:bookmarkStart w:id="1" w:name="_Hlt407617848"/>
      <w:bookmarkStart w:id="2" w:name="_Hlt407617849"/>
      <w:bookmarkStart w:id="3" w:name="_Hlt399854332"/>
      <w:r w:rsidRPr="00057262">
        <w:rPr>
          <w:rFonts w:ascii="Aptos" w:hAnsi="Aptos" w:cs="Calibri Light"/>
          <w:b/>
          <w:bCs w:val="0"/>
          <w:i w:val="0"/>
          <w:color w:val="auto"/>
        </w:rPr>
        <w:t>U</w:t>
      </w:r>
      <w:bookmarkEnd w:id="1"/>
      <w:bookmarkEnd w:id="2"/>
      <w:bookmarkEnd w:id="3"/>
      <w:r w:rsidRPr="00057262">
        <w:rPr>
          <w:rFonts w:ascii="Aptos" w:hAnsi="Aptos" w:cs="Calibri Light"/>
          <w:b/>
          <w:bCs w:val="0"/>
          <w:i w:val="0"/>
          <w:color w:val="auto"/>
        </w:rPr>
        <w:t>PDATING THE U.S. GAAP CHECKLIST</w:t>
      </w:r>
    </w:p>
    <w:p w14:paraId="18DB41B8" w14:textId="4B2F9E4D" w:rsidR="005C729F" w:rsidRPr="00057262" w:rsidRDefault="005C729F" w:rsidP="00C72910">
      <w:pPr>
        <w:rPr>
          <w:rStyle w:val="pdocumentul1"/>
          <w:rFonts w:ascii="Aptos" w:hAnsi="Aptos" w:cs="Calibri Light"/>
        </w:rPr>
      </w:pPr>
      <w:r w:rsidRPr="00057262">
        <w:rPr>
          <w:rFonts w:ascii="Aptos" w:eastAsiaTheme="minorHAnsi" w:hAnsi="Aptos" w:cs="Calibri Light"/>
        </w:rPr>
        <w:t xml:space="preserve">Users of the </w:t>
      </w:r>
      <w:r w:rsidR="000F1DC5" w:rsidRPr="00057262">
        <w:rPr>
          <w:rFonts w:ascii="Aptos" w:eastAsiaTheme="minorHAnsi" w:hAnsi="Aptos" w:cs="Calibri Light"/>
        </w:rPr>
        <w:t>U.S. GAAP Checklist</w:t>
      </w:r>
      <w:r w:rsidRPr="00057262">
        <w:rPr>
          <w:rFonts w:ascii="Aptos" w:eastAsiaTheme="minorHAnsi" w:hAnsi="Aptos" w:cs="Calibri Light"/>
        </w:rPr>
        <w:t xml:space="preserve"> who initiated a checklist prior to this update</w:t>
      </w:r>
      <w:r w:rsidR="005813DD" w:rsidRPr="00057262">
        <w:rPr>
          <w:rFonts w:ascii="Aptos" w:eastAsiaTheme="minorHAnsi" w:hAnsi="Aptos" w:cs="Calibri Light"/>
        </w:rPr>
        <w:t xml:space="preserve"> and determine that one or more of the ASUs issued affect the period under audit</w:t>
      </w:r>
      <w:r w:rsidRPr="00057262">
        <w:rPr>
          <w:rFonts w:ascii="Aptos" w:eastAsiaTheme="minorHAnsi" w:hAnsi="Aptos" w:cs="Calibri Light"/>
        </w:rPr>
        <w:t xml:space="preserve"> will need to do the following:</w:t>
      </w:r>
    </w:p>
    <w:p w14:paraId="2E74E665" w14:textId="77777777" w:rsidR="005C729F" w:rsidRPr="00057262" w:rsidRDefault="005C729F" w:rsidP="00C72910">
      <w:pPr>
        <w:numPr>
          <w:ilvl w:val="0"/>
          <w:numId w:val="1"/>
        </w:numPr>
        <w:ind w:left="360"/>
        <w:rPr>
          <w:rStyle w:val="documentlip1"/>
          <w:rFonts w:ascii="Aptos" w:hAnsi="Aptos" w:cs="Calibri Light"/>
        </w:rPr>
      </w:pPr>
      <w:r w:rsidRPr="00057262">
        <w:rPr>
          <w:rStyle w:val="documentlip1"/>
          <w:rFonts w:ascii="Aptos" w:hAnsi="Aptos" w:cs="Calibri Light"/>
        </w:rPr>
        <w:t>Request</w:t>
      </w:r>
      <w:r w:rsidR="0053412C" w:rsidRPr="00057262">
        <w:rPr>
          <w:rStyle w:val="documentlip1"/>
          <w:rFonts w:ascii="Aptos" w:hAnsi="Aptos" w:cs="Calibri Light"/>
        </w:rPr>
        <w:t xml:space="preserve"> </w:t>
      </w:r>
      <w:r w:rsidRPr="00057262">
        <w:rPr>
          <w:rStyle w:val="documentlip1"/>
          <w:rFonts w:ascii="Aptos" w:hAnsi="Aptos" w:cs="Calibri Light"/>
        </w:rPr>
        <w:t>the Deloitte engagement team to initiate a new checklist. This new checklist will supplement the previous checklist created.</w:t>
      </w:r>
    </w:p>
    <w:p w14:paraId="55B76D28" w14:textId="0756806D" w:rsidR="005C729F" w:rsidRPr="00057262" w:rsidRDefault="005C729F" w:rsidP="00C72910">
      <w:pPr>
        <w:numPr>
          <w:ilvl w:val="0"/>
          <w:numId w:val="1"/>
        </w:numPr>
        <w:ind w:left="360"/>
        <w:rPr>
          <w:rStyle w:val="documentlip1"/>
          <w:rFonts w:ascii="Aptos" w:hAnsi="Aptos" w:cs="Calibri Light"/>
        </w:rPr>
      </w:pPr>
      <w:r w:rsidRPr="00057262">
        <w:rPr>
          <w:rStyle w:val="documentlip1"/>
          <w:rFonts w:ascii="Aptos" w:hAnsi="Aptos" w:cs="Calibri Light"/>
        </w:rPr>
        <w:t xml:space="preserve">Using the list of </w:t>
      </w:r>
      <w:r w:rsidR="00AB69E9" w:rsidRPr="00057262">
        <w:rPr>
          <w:rStyle w:val="documentlip1"/>
          <w:rFonts w:ascii="Aptos" w:hAnsi="Aptos" w:cs="Calibri Light"/>
        </w:rPr>
        <w:t xml:space="preserve">updated </w:t>
      </w:r>
      <w:r w:rsidRPr="00057262">
        <w:rPr>
          <w:rStyle w:val="documentlip1"/>
          <w:rFonts w:ascii="Aptos" w:hAnsi="Aptos" w:cs="Calibri Light"/>
        </w:rPr>
        <w:t xml:space="preserve">guidance below, </w:t>
      </w:r>
      <w:r w:rsidR="00920EF7" w:rsidRPr="00057262">
        <w:rPr>
          <w:rStyle w:val="documentlip1"/>
          <w:rFonts w:ascii="Aptos" w:hAnsi="Aptos" w:cs="Calibri Light"/>
        </w:rPr>
        <w:t xml:space="preserve">frame the checklist to </w:t>
      </w:r>
      <w:r w:rsidR="00CC2294" w:rsidRPr="00057262">
        <w:rPr>
          <w:rStyle w:val="documentlip1"/>
          <w:rFonts w:ascii="Aptos" w:hAnsi="Aptos" w:cs="Calibri Light"/>
        </w:rPr>
        <w:t xml:space="preserve">include within its </w:t>
      </w:r>
      <w:r w:rsidRPr="00057262">
        <w:rPr>
          <w:rStyle w:val="documentlip1"/>
          <w:rFonts w:ascii="Aptos" w:hAnsi="Aptos" w:cs="Calibri Light"/>
        </w:rPr>
        <w:t>scope</w:t>
      </w:r>
      <w:r w:rsidR="008250C0" w:rsidRPr="00057262">
        <w:rPr>
          <w:rStyle w:val="documentlip1"/>
          <w:rFonts w:ascii="Aptos" w:hAnsi="Aptos" w:cs="Calibri Light"/>
          <w:szCs w:val="22"/>
          <w:vertAlign w:val="superscript"/>
        </w:rPr>
        <w:footnoteReference w:id="2"/>
      </w:r>
      <w:r w:rsidRPr="00057262">
        <w:rPr>
          <w:rStyle w:val="documentlip1"/>
          <w:rFonts w:ascii="Aptos" w:hAnsi="Aptos" w:cs="Calibri Light"/>
          <w:szCs w:val="22"/>
          <w:vertAlign w:val="superscript"/>
        </w:rPr>
        <w:t xml:space="preserve"> </w:t>
      </w:r>
      <w:r w:rsidRPr="00057262">
        <w:rPr>
          <w:rStyle w:val="documentlip1"/>
          <w:rFonts w:ascii="Aptos" w:hAnsi="Aptos" w:cs="Calibri Light"/>
        </w:rPr>
        <w:t xml:space="preserve">only the applicable </w:t>
      </w:r>
      <w:r w:rsidR="00AB69E9" w:rsidRPr="00057262">
        <w:rPr>
          <w:rStyle w:val="documentlip1"/>
          <w:rFonts w:ascii="Aptos" w:hAnsi="Aptos" w:cs="Calibri Light"/>
        </w:rPr>
        <w:t xml:space="preserve">updated </w:t>
      </w:r>
      <w:r w:rsidRPr="00057262">
        <w:rPr>
          <w:rStyle w:val="documentlip1"/>
          <w:rFonts w:ascii="Aptos" w:hAnsi="Aptos" w:cs="Calibri Light"/>
        </w:rPr>
        <w:t xml:space="preserve">guidance. To determine whether the guidance applies, users may view the </w:t>
      </w:r>
      <w:r w:rsidR="00A94FCF" w:rsidRPr="00057262">
        <w:rPr>
          <w:rStyle w:val="documentlip1"/>
          <w:rFonts w:ascii="Aptos" w:hAnsi="Aptos" w:cs="Calibri Light"/>
        </w:rPr>
        <w:t xml:space="preserve">updated </w:t>
      </w:r>
      <w:r w:rsidRPr="00057262">
        <w:rPr>
          <w:rStyle w:val="documentlip1"/>
          <w:rFonts w:ascii="Aptos" w:hAnsi="Aptos" w:cs="Calibri Light"/>
        </w:rPr>
        <w:t xml:space="preserve">guidance in the checklist by expanding the Codification tree to the Subsection level and clicking on the Subsection title (usually “General”). The </w:t>
      </w:r>
      <w:r w:rsidR="00A94FCF" w:rsidRPr="00057262">
        <w:rPr>
          <w:rStyle w:val="documentlip1"/>
          <w:rFonts w:ascii="Aptos" w:hAnsi="Aptos" w:cs="Calibri Light"/>
        </w:rPr>
        <w:t xml:space="preserve">updated </w:t>
      </w:r>
      <w:r w:rsidRPr="00057262">
        <w:rPr>
          <w:rStyle w:val="documentlip1"/>
          <w:rFonts w:ascii="Aptos" w:hAnsi="Aptos" w:cs="Calibri Light"/>
        </w:rPr>
        <w:t xml:space="preserve">guidance </w:t>
      </w:r>
      <w:r w:rsidR="00FA5194" w:rsidRPr="00057262">
        <w:rPr>
          <w:rStyle w:val="documentlip1"/>
          <w:rFonts w:ascii="Aptos" w:hAnsi="Aptos" w:cs="Calibri Light"/>
        </w:rPr>
        <w:t>may not</w:t>
      </w:r>
      <w:r w:rsidRPr="00057262">
        <w:rPr>
          <w:rStyle w:val="documentlip1"/>
          <w:rFonts w:ascii="Aptos" w:hAnsi="Aptos" w:cs="Calibri Light"/>
        </w:rPr>
        <w:t xml:space="preserve"> appear as “</w:t>
      </w:r>
      <w:r w:rsidR="00CE15E5" w:rsidRPr="00057262">
        <w:rPr>
          <w:rStyle w:val="documentlip1"/>
          <w:rFonts w:ascii="Aptos" w:hAnsi="Aptos" w:cs="Calibri Light"/>
        </w:rPr>
        <w:t>p</w:t>
      </w:r>
      <w:r w:rsidRPr="00057262">
        <w:rPr>
          <w:rStyle w:val="documentlip1"/>
          <w:rFonts w:ascii="Aptos" w:hAnsi="Aptos" w:cs="Calibri Light"/>
        </w:rPr>
        <w:t xml:space="preserve">ending </w:t>
      </w:r>
      <w:r w:rsidR="00CE15E5" w:rsidRPr="00057262">
        <w:rPr>
          <w:rStyle w:val="documentlip1"/>
          <w:rFonts w:ascii="Aptos" w:hAnsi="Aptos" w:cs="Calibri Light"/>
        </w:rPr>
        <w:t>c</w:t>
      </w:r>
      <w:r w:rsidRPr="00057262">
        <w:rPr>
          <w:rStyle w:val="documentlip1"/>
          <w:rFonts w:ascii="Aptos" w:hAnsi="Aptos" w:cs="Calibri Light"/>
        </w:rPr>
        <w:t>ontent” in the Codification</w:t>
      </w:r>
      <w:r w:rsidR="00FA5194" w:rsidRPr="00057262">
        <w:rPr>
          <w:rStyle w:val="documentlip1"/>
          <w:rFonts w:ascii="Aptos" w:hAnsi="Aptos" w:cs="Calibri Light"/>
        </w:rPr>
        <w:t xml:space="preserve"> due to maintenance within the GAAP Checklist tool</w:t>
      </w:r>
      <w:r w:rsidRPr="00057262">
        <w:rPr>
          <w:rStyle w:val="documentlip1"/>
          <w:rFonts w:ascii="Aptos" w:hAnsi="Aptos" w:cs="Calibri Light"/>
        </w:rPr>
        <w:t xml:space="preserve">. </w:t>
      </w:r>
      <w:r w:rsidR="00FA5194" w:rsidRPr="00057262">
        <w:rPr>
          <w:rStyle w:val="documentlip1"/>
          <w:rFonts w:ascii="Aptos" w:hAnsi="Aptos" w:cs="Calibri Light"/>
        </w:rPr>
        <w:t>However, t</w:t>
      </w:r>
      <w:r w:rsidRPr="00057262">
        <w:rPr>
          <w:rStyle w:val="documentlip1"/>
          <w:rFonts w:ascii="Aptos" w:hAnsi="Aptos" w:cs="Calibri Light"/>
        </w:rPr>
        <w:t xml:space="preserve">ransition guidance </w:t>
      </w:r>
      <w:r w:rsidR="00FA5194" w:rsidRPr="00057262">
        <w:rPr>
          <w:rStyle w:val="documentlip1"/>
          <w:rFonts w:ascii="Aptos" w:hAnsi="Aptos" w:cs="Calibri Light"/>
        </w:rPr>
        <w:t xml:space="preserve">would </w:t>
      </w:r>
      <w:proofErr w:type="gramStart"/>
      <w:r w:rsidR="00FA5194" w:rsidRPr="00057262">
        <w:rPr>
          <w:rStyle w:val="documentlip1"/>
          <w:rFonts w:ascii="Aptos" w:hAnsi="Aptos" w:cs="Calibri Light"/>
        </w:rPr>
        <w:t xml:space="preserve">be </w:t>
      </w:r>
      <w:r w:rsidRPr="00057262">
        <w:rPr>
          <w:rStyle w:val="documentlip1"/>
          <w:rFonts w:ascii="Aptos" w:hAnsi="Aptos" w:cs="Calibri Light"/>
        </w:rPr>
        <w:t>linked</w:t>
      </w:r>
      <w:proofErr w:type="gramEnd"/>
      <w:r w:rsidRPr="00057262">
        <w:rPr>
          <w:rStyle w:val="documentlip1"/>
          <w:rFonts w:ascii="Aptos" w:hAnsi="Aptos" w:cs="Calibri Light"/>
        </w:rPr>
        <w:t xml:space="preserve"> to </w:t>
      </w:r>
      <w:r w:rsidR="00CE15E5" w:rsidRPr="00057262">
        <w:rPr>
          <w:rStyle w:val="documentlip1"/>
          <w:rFonts w:ascii="Aptos" w:hAnsi="Aptos" w:cs="Calibri Light"/>
        </w:rPr>
        <w:t>p</w:t>
      </w:r>
      <w:r w:rsidRPr="00057262">
        <w:rPr>
          <w:rStyle w:val="documentlip1"/>
          <w:rFonts w:ascii="Aptos" w:hAnsi="Aptos" w:cs="Calibri Light"/>
        </w:rPr>
        <w:t xml:space="preserve">ending </w:t>
      </w:r>
      <w:r w:rsidR="00CE15E5" w:rsidRPr="00057262">
        <w:rPr>
          <w:rStyle w:val="documentlip1"/>
          <w:rFonts w:ascii="Aptos" w:hAnsi="Aptos" w:cs="Calibri Light"/>
        </w:rPr>
        <w:t>c</w:t>
      </w:r>
      <w:r w:rsidRPr="00057262">
        <w:rPr>
          <w:rStyle w:val="documentlip1"/>
          <w:rFonts w:ascii="Aptos" w:hAnsi="Aptos" w:cs="Calibri Light"/>
        </w:rPr>
        <w:t>ontent paragraphs</w:t>
      </w:r>
      <w:r w:rsidR="00FA5194" w:rsidRPr="00057262">
        <w:rPr>
          <w:rStyle w:val="documentlip1"/>
          <w:rFonts w:ascii="Aptos" w:hAnsi="Aptos" w:cs="Calibri Light"/>
        </w:rPr>
        <w:t xml:space="preserve"> and is available in Section 65 of each respective ASC Topic</w:t>
      </w:r>
      <w:r w:rsidR="00264CC4" w:rsidRPr="00057262">
        <w:rPr>
          <w:rStyle w:val="documentlip1"/>
          <w:rFonts w:ascii="Aptos" w:hAnsi="Aptos" w:cs="Calibri Light"/>
        </w:rPr>
        <w:t>.</w:t>
      </w:r>
      <w:r w:rsidR="003861EE" w:rsidRPr="00057262">
        <w:rPr>
          <w:rStyle w:val="documentlip1"/>
          <w:rFonts w:ascii="Aptos" w:hAnsi="Aptos" w:cs="Calibri Light"/>
        </w:rPr>
        <w:t xml:space="preserve"> Section 15 of </w:t>
      </w:r>
      <w:r w:rsidR="00293EA9" w:rsidRPr="00057262">
        <w:rPr>
          <w:rStyle w:val="documentlip1"/>
          <w:rFonts w:ascii="Aptos" w:hAnsi="Aptos" w:cs="Calibri Light"/>
        </w:rPr>
        <w:t xml:space="preserve">each respective ASC Topic within </w:t>
      </w:r>
      <w:r w:rsidR="003861EE" w:rsidRPr="00057262">
        <w:rPr>
          <w:rStyle w:val="documentlip1"/>
          <w:rFonts w:ascii="Aptos" w:hAnsi="Aptos" w:cs="Calibri Light"/>
        </w:rPr>
        <w:t xml:space="preserve">the </w:t>
      </w:r>
      <w:r w:rsidR="004F1F71" w:rsidRPr="00057262">
        <w:rPr>
          <w:rStyle w:val="documentlip1"/>
          <w:rFonts w:ascii="Aptos" w:hAnsi="Aptos" w:cs="Calibri Light"/>
        </w:rPr>
        <w:t>C</w:t>
      </w:r>
      <w:r w:rsidR="003861EE" w:rsidRPr="00057262">
        <w:rPr>
          <w:rStyle w:val="documentlip1"/>
          <w:rFonts w:ascii="Aptos" w:hAnsi="Aptos" w:cs="Calibri Light"/>
        </w:rPr>
        <w:t xml:space="preserve">odification can </w:t>
      </w:r>
      <w:proofErr w:type="gramStart"/>
      <w:r w:rsidR="003861EE" w:rsidRPr="00057262">
        <w:rPr>
          <w:rStyle w:val="documentlip1"/>
          <w:rFonts w:ascii="Aptos" w:hAnsi="Aptos" w:cs="Calibri Light"/>
        </w:rPr>
        <w:t>be viewed</w:t>
      </w:r>
      <w:proofErr w:type="gramEnd"/>
      <w:r w:rsidR="003861EE" w:rsidRPr="00057262">
        <w:rPr>
          <w:rStyle w:val="documentlip1"/>
          <w:rFonts w:ascii="Aptos" w:hAnsi="Aptos" w:cs="Calibri Light"/>
        </w:rPr>
        <w:t xml:space="preserve"> to determine </w:t>
      </w:r>
      <w:r w:rsidR="00CC2294" w:rsidRPr="00057262">
        <w:rPr>
          <w:rStyle w:val="documentlip1"/>
          <w:rFonts w:ascii="Aptos" w:hAnsi="Aptos" w:cs="Calibri Light"/>
        </w:rPr>
        <w:t xml:space="preserve">whether </w:t>
      </w:r>
      <w:r w:rsidR="003861EE" w:rsidRPr="00057262">
        <w:rPr>
          <w:rStyle w:val="documentlip1"/>
          <w:rFonts w:ascii="Aptos" w:hAnsi="Aptos" w:cs="Calibri Light"/>
        </w:rPr>
        <w:t xml:space="preserve">the </w:t>
      </w:r>
      <w:r w:rsidR="0053412C" w:rsidRPr="00057262">
        <w:rPr>
          <w:rStyle w:val="documentlip1"/>
          <w:rFonts w:ascii="Aptos" w:hAnsi="Aptos" w:cs="Calibri Light"/>
        </w:rPr>
        <w:t xml:space="preserve">guidance applies to the entity. </w:t>
      </w:r>
      <w:r w:rsidR="005D499F" w:rsidRPr="00057262">
        <w:rPr>
          <w:rStyle w:val="documentlip1"/>
          <w:rFonts w:ascii="Aptos" w:hAnsi="Aptos" w:cs="Calibri Light"/>
        </w:rPr>
        <w:t xml:space="preserve">The preparer may also consider </w:t>
      </w:r>
      <w:r w:rsidR="00E94996" w:rsidRPr="00057262">
        <w:rPr>
          <w:rStyle w:val="documentlip1"/>
          <w:rFonts w:ascii="Aptos" w:hAnsi="Aptos" w:cs="Calibri Light"/>
        </w:rPr>
        <w:t>S</w:t>
      </w:r>
      <w:r w:rsidR="005D499F" w:rsidRPr="00057262">
        <w:rPr>
          <w:rStyle w:val="documentlip1"/>
          <w:rFonts w:ascii="Aptos" w:hAnsi="Aptos" w:cs="Calibri Light"/>
        </w:rPr>
        <w:t>ection 55</w:t>
      </w:r>
      <w:r w:rsidR="00A105AC" w:rsidRPr="00057262">
        <w:rPr>
          <w:rStyle w:val="documentlip1"/>
          <w:rFonts w:ascii="Aptos" w:hAnsi="Aptos" w:cs="Calibri Light"/>
        </w:rPr>
        <w:t xml:space="preserve"> </w:t>
      </w:r>
      <w:r w:rsidR="004F1F71" w:rsidRPr="00057262">
        <w:rPr>
          <w:rStyle w:val="documentlip1"/>
          <w:rFonts w:ascii="Aptos" w:hAnsi="Aptos" w:cs="Calibri Light"/>
        </w:rPr>
        <w:t xml:space="preserve">of </w:t>
      </w:r>
      <w:r w:rsidR="00293EA9" w:rsidRPr="00057262">
        <w:rPr>
          <w:rStyle w:val="documentlip1"/>
          <w:rFonts w:ascii="Aptos" w:hAnsi="Aptos" w:cs="Calibri Light"/>
        </w:rPr>
        <w:t xml:space="preserve">each respective ASC Topic within </w:t>
      </w:r>
      <w:r w:rsidR="004F1F71" w:rsidRPr="00057262">
        <w:rPr>
          <w:rStyle w:val="documentlip1"/>
          <w:rFonts w:ascii="Aptos" w:hAnsi="Aptos" w:cs="Calibri Light"/>
        </w:rPr>
        <w:t xml:space="preserve">the Codification </w:t>
      </w:r>
      <w:r w:rsidR="00A105AC" w:rsidRPr="00057262">
        <w:rPr>
          <w:rStyle w:val="documentlip1"/>
          <w:rFonts w:ascii="Aptos" w:hAnsi="Aptos" w:cs="Calibri Light"/>
        </w:rPr>
        <w:t>for implementation guidance and illustrations.</w:t>
      </w:r>
    </w:p>
    <w:p w14:paraId="7C40C4D5" w14:textId="0C33CF43" w:rsidR="00405A9C" w:rsidRPr="00057262" w:rsidRDefault="005C729F" w:rsidP="00C72910">
      <w:pPr>
        <w:rPr>
          <w:rStyle w:val="pdocumentul1"/>
          <w:rFonts w:ascii="Aptos" w:hAnsi="Aptos" w:cs="Calibri Light"/>
        </w:rPr>
      </w:pPr>
      <w:r w:rsidRPr="00057262">
        <w:rPr>
          <w:rStyle w:val="pdocumentul1"/>
          <w:rFonts w:ascii="Aptos" w:hAnsi="Aptos" w:cs="Calibri Light"/>
        </w:rPr>
        <w:t xml:space="preserve">Once the </w:t>
      </w:r>
      <w:r w:rsidR="002316CC" w:rsidRPr="00057262">
        <w:rPr>
          <w:rStyle w:val="pdocumentul1"/>
          <w:rFonts w:ascii="Aptos" w:hAnsi="Aptos" w:cs="Calibri Light"/>
        </w:rPr>
        <w:t xml:space="preserve">initiation and </w:t>
      </w:r>
      <w:r w:rsidR="00920EF7" w:rsidRPr="00057262">
        <w:rPr>
          <w:rStyle w:val="pdocumentul1"/>
          <w:rFonts w:ascii="Aptos" w:hAnsi="Aptos" w:cs="Calibri Light"/>
        </w:rPr>
        <w:t xml:space="preserve">framing </w:t>
      </w:r>
      <w:r w:rsidR="00A06591" w:rsidRPr="00057262">
        <w:rPr>
          <w:rStyle w:val="pdocumentul1"/>
          <w:rFonts w:ascii="Aptos" w:hAnsi="Aptos" w:cs="Calibri Light"/>
        </w:rPr>
        <w:t>are</w:t>
      </w:r>
      <w:r w:rsidRPr="00057262">
        <w:rPr>
          <w:rStyle w:val="pdocumentul1"/>
          <w:rFonts w:ascii="Aptos" w:hAnsi="Aptos" w:cs="Calibri Light"/>
        </w:rPr>
        <w:t xml:space="preserve"> complete, </w:t>
      </w:r>
      <w:r w:rsidR="000F1DC5" w:rsidRPr="00057262">
        <w:rPr>
          <w:rStyle w:val="pdocumentul1"/>
          <w:rFonts w:ascii="Aptos" w:hAnsi="Aptos" w:cs="Calibri Light"/>
        </w:rPr>
        <w:t>the</w:t>
      </w:r>
      <w:r w:rsidRPr="00057262">
        <w:rPr>
          <w:rStyle w:val="pdocumentul1"/>
          <w:rFonts w:ascii="Aptos" w:hAnsi="Aptos" w:cs="Calibri Light"/>
        </w:rPr>
        <w:t xml:space="preserve"> new </w:t>
      </w:r>
      <w:r w:rsidR="002316CC" w:rsidRPr="00057262">
        <w:rPr>
          <w:rStyle w:val="pdocumentul1"/>
          <w:rFonts w:ascii="Aptos" w:hAnsi="Aptos" w:cs="Calibri Light"/>
        </w:rPr>
        <w:t xml:space="preserve">supplemental </w:t>
      </w:r>
      <w:r w:rsidRPr="00057262">
        <w:rPr>
          <w:rStyle w:val="pdocumentul1"/>
          <w:rFonts w:ascii="Aptos" w:hAnsi="Aptos" w:cs="Calibri Light"/>
        </w:rPr>
        <w:t xml:space="preserve">checklist will include </w:t>
      </w:r>
      <w:r w:rsidR="00A94FCF" w:rsidRPr="00057262">
        <w:rPr>
          <w:rStyle w:val="pdocumentul1"/>
          <w:rFonts w:ascii="Aptos" w:hAnsi="Aptos" w:cs="Calibri Light"/>
        </w:rPr>
        <w:t xml:space="preserve">only </w:t>
      </w:r>
      <w:r w:rsidRPr="00057262">
        <w:rPr>
          <w:rStyle w:val="pdocumentul1"/>
          <w:rFonts w:ascii="Aptos" w:hAnsi="Aptos" w:cs="Calibri Light"/>
        </w:rPr>
        <w:t>questions related to the</w:t>
      </w:r>
      <w:r w:rsidR="00BE7766" w:rsidRPr="00057262">
        <w:rPr>
          <w:rStyle w:val="pdocumentul1"/>
          <w:rFonts w:ascii="Aptos" w:hAnsi="Aptos" w:cs="Calibri Light"/>
        </w:rPr>
        <w:t xml:space="preserve"> updated</w:t>
      </w:r>
      <w:r w:rsidRPr="00057262">
        <w:rPr>
          <w:rStyle w:val="pdocumentul1"/>
          <w:rFonts w:ascii="Aptos" w:hAnsi="Aptos" w:cs="Calibri Light"/>
        </w:rPr>
        <w:t xml:space="preserve"> guidance that </w:t>
      </w:r>
      <w:proofErr w:type="gramStart"/>
      <w:r w:rsidRPr="00057262">
        <w:rPr>
          <w:rStyle w:val="pdocumentul1"/>
          <w:rFonts w:ascii="Aptos" w:hAnsi="Aptos" w:cs="Calibri Light"/>
        </w:rPr>
        <w:t>was</w:t>
      </w:r>
      <w:r w:rsidR="00CC2294" w:rsidRPr="00057262">
        <w:rPr>
          <w:rStyle w:val="pdocumentul1"/>
          <w:rFonts w:ascii="Aptos" w:hAnsi="Aptos" w:cs="Calibri Light"/>
        </w:rPr>
        <w:t xml:space="preserve"> included</w:t>
      </w:r>
      <w:proofErr w:type="gramEnd"/>
      <w:r w:rsidR="00CC2294" w:rsidRPr="00057262">
        <w:rPr>
          <w:rStyle w:val="pdocumentul1"/>
          <w:rFonts w:ascii="Aptos" w:hAnsi="Aptos" w:cs="Calibri Light"/>
        </w:rPr>
        <w:t xml:space="preserve"> within the</w:t>
      </w:r>
      <w:r w:rsidRPr="00057262">
        <w:rPr>
          <w:rStyle w:val="pdocumentul1"/>
          <w:rFonts w:ascii="Aptos" w:hAnsi="Aptos" w:cs="Calibri Light"/>
        </w:rPr>
        <w:t xml:space="preserve"> scope</w:t>
      </w:r>
      <w:r w:rsidR="00CC2294" w:rsidRPr="00057262">
        <w:rPr>
          <w:rStyle w:val="pdocumentul1"/>
          <w:rFonts w:ascii="Aptos" w:hAnsi="Aptos" w:cs="Calibri Light"/>
        </w:rPr>
        <w:t xml:space="preserve"> of</w:t>
      </w:r>
      <w:r w:rsidRPr="00057262">
        <w:rPr>
          <w:rStyle w:val="pdocumentul1"/>
          <w:rFonts w:ascii="Aptos" w:hAnsi="Aptos" w:cs="Calibri Light"/>
        </w:rPr>
        <w:t xml:space="preserve"> that checklist.</w:t>
      </w:r>
      <w:r w:rsidR="00900BC5" w:rsidRPr="00057262">
        <w:rPr>
          <w:rStyle w:val="pdocumentul1"/>
          <w:rFonts w:ascii="Aptos" w:hAnsi="Aptos" w:cs="Calibri Light"/>
        </w:rPr>
        <w:t xml:space="preserve"> </w:t>
      </w:r>
      <w:r w:rsidR="000160D7" w:rsidRPr="00057262">
        <w:rPr>
          <w:rStyle w:val="pdocumentul1"/>
          <w:rFonts w:ascii="Aptos" w:hAnsi="Aptos" w:cs="Calibri Light"/>
        </w:rPr>
        <w:t>For users of the U.S. GAAP Checklist that have yet to initiate a checklist prior to this update,</w:t>
      </w:r>
      <w:r w:rsidR="001F58F2" w:rsidRPr="00057262">
        <w:rPr>
          <w:rStyle w:val="pdocumentul1"/>
          <w:rFonts w:ascii="Aptos" w:hAnsi="Aptos" w:cs="Calibri Light"/>
        </w:rPr>
        <w:t xml:space="preserve"> the update to the Codification will </w:t>
      </w:r>
      <w:proofErr w:type="gramStart"/>
      <w:r w:rsidR="001F58F2" w:rsidRPr="00057262">
        <w:rPr>
          <w:rStyle w:val="pdocumentul1"/>
          <w:rFonts w:ascii="Aptos" w:hAnsi="Aptos" w:cs="Calibri Light"/>
        </w:rPr>
        <w:t>be automatically incorporate</w:t>
      </w:r>
      <w:r w:rsidR="001562DA" w:rsidRPr="00057262">
        <w:rPr>
          <w:rStyle w:val="pdocumentul1"/>
          <w:rFonts w:ascii="Aptos" w:hAnsi="Aptos" w:cs="Calibri Light"/>
        </w:rPr>
        <w:t>d</w:t>
      </w:r>
      <w:proofErr w:type="gramEnd"/>
      <w:r w:rsidR="001F58F2" w:rsidRPr="00057262">
        <w:rPr>
          <w:rStyle w:val="pdocumentul1"/>
          <w:rFonts w:ascii="Aptos" w:hAnsi="Aptos" w:cs="Calibri Light"/>
        </w:rPr>
        <w:t xml:space="preserve"> into the newly initiated checklist.</w:t>
      </w:r>
    </w:p>
    <w:p w14:paraId="7BA6DC41" w14:textId="094BD297" w:rsidR="0029581F" w:rsidRPr="00057262" w:rsidRDefault="00405A9C" w:rsidP="009E1BE6">
      <w:pPr>
        <w:rPr>
          <w:rFonts w:ascii="Aptos" w:hAnsi="Aptos" w:cs="Calibri Light"/>
        </w:rPr>
      </w:pPr>
      <w:r w:rsidRPr="00057262">
        <w:rPr>
          <w:rStyle w:val="pdocumentul1"/>
          <w:rFonts w:ascii="Aptos" w:hAnsi="Aptos" w:cs="Calibri Light"/>
        </w:rPr>
        <w:t xml:space="preserve">See the </w:t>
      </w:r>
      <w:hyperlink r:id="rId13" w:history="1">
        <w:r w:rsidRPr="00057262">
          <w:rPr>
            <w:rStyle w:val="Hyperlink"/>
            <w:rFonts w:ascii="Aptos" w:eastAsia="Verdana" w:hAnsi="Aptos" w:cs="Calibri Light"/>
          </w:rPr>
          <w:t>Quick Reference Guide</w:t>
        </w:r>
      </w:hyperlink>
      <w:r w:rsidRPr="00057262">
        <w:rPr>
          <w:rStyle w:val="pdocumentul1"/>
          <w:rFonts w:ascii="Aptos" w:hAnsi="Aptos" w:cs="Calibri Light"/>
        </w:rPr>
        <w:t xml:space="preserve"> for guidance on the Checklist offered through </w:t>
      </w:r>
      <w:r w:rsidR="00D21A76" w:rsidRPr="00057262">
        <w:rPr>
          <w:rStyle w:val="pdocumentul1"/>
          <w:rFonts w:ascii="Aptos" w:hAnsi="Aptos" w:cs="Calibri Light"/>
        </w:rPr>
        <w:t xml:space="preserve">the </w:t>
      </w:r>
      <w:r w:rsidRPr="00057262">
        <w:rPr>
          <w:rStyle w:val="pdocumentul1"/>
          <w:rFonts w:ascii="Aptos" w:hAnsi="Aptos" w:cs="Calibri Light"/>
        </w:rPr>
        <w:t>Disclosure Analytics</w:t>
      </w:r>
      <w:r w:rsidR="00D21A76" w:rsidRPr="00057262">
        <w:rPr>
          <w:rStyle w:val="pdocumentul1"/>
          <w:rFonts w:ascii="Aptos" w:hAnsi="Aptos" w:cs="Calibri Light"/>
        </w:rPr>
        <w:t xml:space="preserve"> suite</w:t>
      </w:r>
      <w:r w:rsidRPr="00057262">
        <w:rPr>
          <w:rStyle w:val="pdocumentul1"/>
          <w:rFonts w:ascii="Aptos" w:hAnsi="Aptos" w:cs="Calibri Light"/>
        </w:rPr>
        <w:t>.</w:t>
      </w:r>
    </w:p>
    <w:p w14:paraId="4BDC9484" w14:textId="3E642A65" w:rsidR="00CF2715" w:rsidRPr="00057262" w:rsidRDefault="00C72910" w:rsidP="00C72910">
      <w:pPr>
        <w:pStyle w:val="PAH2"/>
        <w:outlineLvl w:val="0"/>
        <w:rPr>
          <w:rFonts w:ascii="Aptos" w:hAnsi="Aptos" w:cs="Calibri Light"/>
          <w:b/>
          <w:bCs w:val="0"/>
          <w:i w:val="0"/>
          <w:color w:val="auto"/>
        </w:rPr>
      </w:pPr>
      <w:r w:rsidRPr="00057262">
        <w:rPr>
          <w:rFonts w:ascii="Aptos" w:hAnsi="Aptos" w:cs="Calibri Light"/>
          <w:b/>
          <w:bCs w:val="0"/>
          <w:i w:val="0"/>
          <w:color w:val="auto"/>
        </w:rPr>
        <w:t>ACCOUNTING GUIDANCE ISSUED DURING THE QUARTER</w:t>
      </w:r>
    </w:p>
    <w:p w14:paraId="0DDF4C02" w14:textId="31D51B0B" w:rsidR="00FA5194" w:rsidRPr="00057262" w:rsidRDefault="00FA5194" w:rsidP="00C72910">
      <w:pPr>
        <w:rPr>
          <w:rStyle w:val="documentlip1"/>
          <w:rFonts w:ascii="Aptos" w:hAnsi="Aptos" w:cs="Calibri Light"/>
          <w:color w:val="auto"/>
          <w:szCs w:val="22"/>
        </w:rPr>
      </w:pPr>
      <w:r w:rsidRPr="00057262">
        <w:rPr>
          <w:rFonts w:ascii="Aptos" w:eastAsiaTheme="minorHAnsi" w:hAnsi="Aptos" w:cs="Calibri Light"/>
        </w:rPr>
        <w:t xml:space="preserve">When the FASB amends the Codification with an ASU, each paragraph that </w:t>
      </w:r>
      <w:proofErr w:type="gramStart"/>
      <w:r w:rsidRPr="00057262">
        <w:rPr>
          <w:rFonts w:ascii="Aptos" w:eastAsiaTheme="minorHAnsi" w:hAnsi="Aptos" w:cs="Calibri Light"/>
        </w:rPr>
        <w:t>was amended</w:t>
      </w:r>
      <w:proofErr w:type="gramEnd"/>
      <w:r w:rsidRPr="00057262">
        <w:rPr>
          <w:rFonts w:ascii="Aptos" w:eastAsiaTheme="minorHAnsi" w:hAnsi="Aptos" w:cs="Calibri Light"/>
        </w:rPr>
        <w:t xml:space="preserve"> by the ASU </w:t>
      </w:r>
      <w:proofErr w:type="gramStart"/>
      <w:r w:rsidRPr="00057262">
        <w:rPr>
          <w:rFonts w:ascii="Aptos" w:eastAsiaTheme="minorHAnsi" w:hAnsi="Aptos" w:cs="Calibri Light"/>
        </w:rPr>
        <w:t>is left</w:t>
      </w:r>
      <w:proofErr w:type="gramEnd"/>
      <w:r w:rsidRPr="00057262">
        <w:rPr>
          <w:rFonts w:ascii="Aptos" w:eastAsiaTheme="minorHAnsi" w:hAnsi="Aptos" w:cs="Calibri Light"/>
        </w:rPr>
        <w:t xml:space="preserve"> unchanged (for entities that have not adopted the ASU) but </w:t>
      </w:r>
      <w:proofErr w:type="gramStart"/>
      <w:r w:rsidRPr="00057262">
        <w:rPr>
          <w:rFonts w:ascii="Aptos" w:eastAsiaTheme="minorHAnsi" w:hAnsi="Aptos" w:cs="Calibri Light"/>
        </w:rPr>
        <w:t>is followed</w:t>
      </w:r>
      <w:proofErr w:type="gramEnd"/>
      <w:r w:rsidRPr="00057262">
        <w:rPr>
          <w:rFonts w:ascii="Aptos" w:eastAsiaTheme="minorHAnsi" w:hAnsi="Aptos" w:cs="Calibri Light"/>
        </w:rPr>
        <w:t xml:space="preserve"> by a paragraph containing “pending content.” Upon adoption of an ASU, entities need to complete</w:t>
      </w:r>
      <w:r w:rsidRPr="00057262">
        <w:rPr>
          <w:rFonts w:ascii="Aptos" w:hAnsi="Aptos" w:cs="Calibri Light"/>
        </w:rPr>
        <w:t xml:space="preserve"> the amended subtopic using the pending content for each paragraph that has </w:t>
      </w:r>
      <w:proofErr w:type="gramStart"/>
      <w:r w:rsidRPr="00057262">
        <w:rPr>
          <w:rFonts w:ascii="Aptos" w:hAnsi="Aptos" w:cs="Calibri Light"/>
        </w:rPr>
        <w:t>been adopted</w:t>
      </w:r>
      <w:proofErr w:type="gramEnd"/>
      <w:r w:rsidRPr="00057262">
        <w:rPr>
          <w:rFonts w:ascii="Aptos" w:hAnsi="Aptos" w:cs="Calibri Light"/>
        </w:rPr>
        <w:t xml:space="preserve">. Pending content related to the ASUs issued this quarter, however, </w:t>
      </w:r>
      <w:proofErr w:type="gramStart"/>
      <w:r w:rsidRPr="00057262">
        <w:rPr>
          <w:rFonts w:ascii="Aptos" w:hAnsi="Aptos" w:cs="Calibri Light"/>
        </w:rPr>
        <w:t>is not included</w:t>
      </w:r>
      <w:proofErr w:type="gramEnd"/>
      <w:r w:rsidRPr="00057262">
        <w:rPr>
          <w:rFonts w:ascii="Aptos" w:hAnsi="Aptos" w:cs="Calibri Light"/>
        </w:rPr>
        <w:t xml:space="preserve"> in the checklist. When this </w:t>
      </w:r>
      <w:proofErr w:type="gramStart"/>
      <w:r w:rsidRPr="00057262">
        <w:rPr>
          <w:rFonts w:ascii="Aptos" w:hAnsi="Aptos" w:cs="Calibri Light"/>
        </w:rPr>
        <w:t>is resolved</w:t>
      </w:r>
      <w:proofErr w:type="gramEnd"/>
      <w:r w:rsidRPr="00057262">
        <w:rPr>
          <w:rFonts w:ascii="Aptos" w:hAnsi="Aptos" w:cs="Calibri Light"/>
        </w:rPr>
        <w:t xml:space="preserve">, a message will </w:t>
      </w:r>
      <w:proofErr w:type="gramStart"/>
      <w:r w:rsidRPr="00057262">
        <w:rPr>
          <w:rFonts w:ascii="Aptos" w:hAnsi="Aptos" w:cs="Calibri Light"/>
        </w:rPr>
        <w:t>be displayed</w:t>
      </w:r>
      <w:proofErr w:type="gramEnd"/>
      <w:r w:rsidRPr="00057262">
        <w:rPr>
          <w:rFonts w:ascii="Aptos" w:hAnsi="Aptos" w:cs="Calibri Light"/>
        </w:rPr>
        <w:t xml:space="preserve"> on opening the GAAP Checklist application.</w:t>
      </w:r>
    </w:p>
    <w:p w14:paraId="69F5E6F3" w14:textId="07D84BD0" w:rsidR="00021275" w:rsidRPr="00057262" w:rsidRDefault="00EC2CC5" w:rsidP="7293FABD">
      <w:pPr>
        <w:rPr>
          <w:rStyle w:val="documentlip1"/>
          <w:rFonts w:ascii="Aptos" w:hAnsi="Aptos" w:cs="Calibri Light"/>
        </w:rPr>
      </w:pPr>
      <w:r>
        <w:rPr>
          <w:rStyle w:val="documentlip1"/>
          <w:rFonts w:ascii="Aptos" w:hAnsi="Aptos" w:cs="Calibri Light"/>
        </w:rPr>
        <w:t>Three</w:t>
      </w:r>
      <w:r w:rsidR="009C1C36" w:rsidRPr="00057262">
        <w:rPr>
          <w:rStyle w:val="documentlip1"/>
          <w:rFonts w:ascii="Aptos" w:hAnsi="Aptos" w:cs="Calibri Light"/>
        </w:rPr>
        <w:t xml:space="preserve"> </w:t>
      </w:r>
      <w:r w:rsidR="00F711AC" w:rsidRPr="00057262">
        <w:rPr>
          <w:rStyle w:val="documentlip1"/>
          <w:rFonts w:ascii="Aptos" w:hAnsi="Aptos" w:cs="Calibri Light"/>
        </w:rPr>
        <w:t>ASU</w:t>
      </w:r>
      <w:r>
        <w:rPr>
          <w:rStyle w:val="documentlip1"/>
          <w:rFonts w:ascii="Aptos" w:hAnsi="Aptos" w:cs="Calibri Light"/>
        </w:rPr>
        <w:t>s</w:t>
      </w:r>
      <w:r w:rsidR="00AF3E74" w:rsidRPr="00057262">
        <w:rPr>
          <w:rStyle w:val="documentlip1"/>
          <w:rFonts w:ascii="Aptos" w:hAnsi="Aptos" w:cs="Calibri Light"/>
        </w:rPr>
        <w:t xml:space="preserve"> </w:t>
      </w:r>
      <w:r w:rsidR="006761CE" w:rsidRPr="00057262">
        <w:rPr>
          <w:rStyle w:val="documentlip1"/>
          <w:rFonts w:ascii="Aptos" w:hAnsi="Aptos" w:cs="Calibri Light"/>
        </w:rPr>
        <w:t>w</w:t>
      </w:r>
      <w:r>
        <w:rPr>
          <w:rStyle w:val="documentlip1"/>
          <w:rFonts w:ascii="Aptos" w:hAnsi="Aptos" w:cs="Calibri Light"/>
        </w:rPr>
        <w:t>ere</w:t>
      </w:r>
      <w:r w:rsidR="006761CE" w:rsidRPr="00057262">
        <w:rPr>
          <w:rStyle w:val="documentlip1"/>
          <w:rFonts w:ascii="Aptos" w:hAnsi="Aptos" w:cs="Calibri Light"/>
        </w:rPr>
        <w:t xml:space="preserve"> </w:t>
      </w:r>
      <w:r w:rsidR="00F711AC" w:rsidRPr="00057262">
        <w:rPr>
          <w:rStyle w:val="documentlip1"/>
          <w:rFonts w:ascii="Aptos" w:hAnsi="Aptos" w:cs="Calibri Light"/>
        </w:rPr>
        <w:t>issued by the FASB</w:t>
      </w:r>
      <w:r w:rsidR="00167383" w:rsidRPr="00057262">
        <w:rPr>
          <w:rStyle w:val="documentlip1"/>
          <w:rFonts w:ascii="Aptos" w:hAnsi="Aptos" w:cs="Calibri Light"/>
        </w:rPr>
        <w:t xml:space="preserve"> </w:t>
      </w:r>
      <w:r w:rsidR="00DA0372" w:rsidRPr="00057262">
        <w:rPr>
          <w:rStyle w:val="documentlip1"/>
          <w:rFonts w:ascii="Aptos" w:hAnsi="Aptos" w:cs="Calibri Light"/>
        </w:rPr>
        <w:t>(the “Board”)</w:t>
      </w:r>
      <w:r w:rsidR="00167383" w:rsidRPr="00057262">
        <w:rPr>
          <w:rStyle w:val="documentlip1"/>
          <w:rFonts w:ascii="Aptos" w:hAnsi="Aptos" w:cs="Calibri Light"/>
        </w:rPr>
        <w:t xml:space="preserve"> </w:t>
      </w:r>
      <w:r w:rsidR="002C057F" w:rsidRPr="00057262">
        <w:rPr>
          <w:rStyle w:val="documentlip1"/>
          <w:rFonts w:ascii="Aptos" w:hAnsi="Aptos" w:cs="Calibri Light"/>
        </w:rPr>
        <w:t xml:space="preserve">during the </w:t>
      </w:r>
      <w:r w:rsidR="00330430" w:rsidRPr="00057262">
        <w:rPr>
          <w:rStyle w:val="documentlip1"/>
          <w:rFonts w:ascii="Aptos" w:hAnsi="Aptos" w:cs="Calibri Light"/>
        </w:rPr>
        <w:t>three-month</w:t>
      </w:r>
      <w:r w:rsidR="002C057F" w:rsidRPr="00057262">
        <w:rPr>
          <w:rStyle w:val="documentlip1"/>
          <w:rFonts w:ascii="Aptos" w:hAnsi="Aptos" w:cs="Calibri Light"/>
        </w:rPr>
        <w:t xml:space="preserve"> period ending </w:t>
      </w:r>
      <w:r w:rsidR="00843B5C" w:rsidRPr="00057262">
        <w:rPr>
          <w:rStyle w:val="documentlip1"/>
          <w:rFonts w:ascii="Aptos" w:hAnsi="Aptos" w:cs="Calibri Light"/>
        </w:rPr>
        <w:t xml:space="preserve">September </w:t>
      </w:r>
      <w:r w:rsidR="0090020B" w:rsidRPr="00057262">
        <w:rPr>
          <w:rStyle w:val="documentlip1"/>
          <w:rFonts w:ascii="Aptos" w:hAnsi="Aptos" w:cs="Calibri Light"/>
        </w:rPr>
        <w:t>3</w:t>
      </w:r>
      <w:r w:rsidR="0011685C" w:rsidRPr="00057262">
        <w:rPr>
          <w:rStyle w:val="documentlip1"/>
          <w:rFonts w:ascii="Aptos" w:hAnsi="Aptos" w:cs="Calibri Light"/>
        </w:rPr>
        <w:t>0</w:t>
      </w:r>
      <w:r w:rsidR="001404F7" w:rsidRPr="00057262">
        <w:rPr>
          <w:rStyle w:val="documentlip1"/>
          <w:rFonts w:ascii="Aptos" w:hAnsi="Aptos" w:cs="Calibri Light"/>
        </w:rPr>
        <w:t xml:space="preserve">, </w:t>
      </w:r>
      <w:r w:rsidR="006F5277" w:rsidRPr="00057262">
        <w:rPr>
          <w:rStyle w:val="documentlip1"/>
          <w:rFonts w:ascii="Aptos" w:hAnsi="Aptos" w:cs="Calibri Light"/>
        </w:rPr>
        <w:t>202</w:t>
      </w:r>
      <w:r w:rsidR="00D83C77" w:rsidRPr="00057262">
        <w:rPr>
          <w:rStyle w:val="documentlip1"/>
          <w:rFonts w:ascii="Aptos" w:hAnsi="Aptos" w:cs="Calibri Light"/>
        </w:rPr>
        <w:t>5</w:t>
      </w:r>
      <w:r w:rsidR="00BE0A54" w:rsidRPr="00057262">
        <w:rPr>
          <w:rStyle w:val="documentlip1"/>
          <w:rFonts w:ascii="Aptos" w:hAnsi="Aptos" w:cs="Calibri Light"/>
        </w:rPr>
        <w:t>:</w:t>
      </w:r>
    </w:p>
    <w:p w14:paraId="4EB7DD23" w14:textId="15EA521F" w:rsidR="00AF3E74" w:rsidRPr="00057262" w:rsidRDefault="00D83C77" w:rsidP="00DA3367">
      <w:pPr>
        <w:pStyle w:val="PABulletLink75IND"/>
        <w:numPr>
          <w:ilvl w:val="0"/>
          <w:numId w:val="26"/>
        </w:numPr>
        <w:spacing w:before="0" w:after="240"/>
        <w:ind w:left="360"/>
        <w:rPr>
          <w:rFonts w:ascii="Aptos" w:hAnsi="Aptos" w:cs="Calibri Light"/>
          <w:b/>
          <w:bCs/>
          <w:lang w:val="en-US"/>
        </w:rPr>
      </w:pPr>
      <w:hyperlink r:id="rId14">
        <w:r w:rsidRPr="00057262">
          <w:rPr>
            <w:rStyle w:val="Hyperlink"/>
            <w:rFonts w:ascii="Aptos" w:hAnsi="Aptos" w:cs="Calibri Light"/>
            <w:b/>
            <w:bCs/>
          </w:rPr>
          <w:t>2025-0</w:t>
        </w:r>
        <w:r w:rsidR="00843B5C" w:rsidRPr="00057262">
          <w:rPr>
            <w:rStyle w:val="Hyperlink"/>
            <w:rFonts w:ascii="Aptos" w:hAnsi="Aptos" w:cs="Calibri Light"/>
            <w:b/>
            <w:bCs/>
          </w:rPr>
          <w:t>5</w:t>
        </w:r>
        <w:r w:rsidR="00B82B8D" w:rsidRPr="00057262">
          <w:rPr>
            <w:rStyle w:val="Hyperlink"/>
            <w:rFonts w:ascii="Aptos" w:hAnsi="Aptos" w:cs="Calibri Light"/>
            <w:b/>
            <w:bCs/>
          </w:rPr>
          <w:t xml:space="preserve"> </w:t>
        </w:r>
        <w:r w:rsidR="00057262" w:rsidRPr="00057262">
          <w:rPr>
            <w:rStyle w:val="Hyperlink"/>
            <w:rFonts w:ascii="Aptos" w:hAnsi="Aptos" w:cs="Calibri Light"/>
            <w:b/>
            <w:bCs/>
          </w:rPr>
          <w:t>—</w:t>
        </w:r>
        <w:r w:rsidR="00B82B8D" w:rsidRPr="00057262">
          <w:rPr>
            <w:rStyle w:val="Hyperlink"/>
            <w:rFonts w:ascii="Aptos" w:hAnsi="Aptos" w:cs="Calibri Light"/>
            <w:b/>
            <w:bCs/>
          </w:rPr>
          <w:t xml:space="preserve"> Financial Instruments </w:t>
        </w:r>
        <w:r w:rsidR="00057262" w:rsidRPr="00057262">
          <w:rPr>
            <w:rStyle w:val="Hyperlink"/>
            <w:rFonts w:ascii="Aptos" w:hAnsi="Aptos" w:cs="Calibri Light"/>
            <w:b/>
            <w:bCs/>
          </w:rPr>
          <w:t>—</w:t>
        </w:r>
        <w:r w:rsidR="00B82B8D" w:rsidRPr="00057262">
          <w:rPr>
            <w:rStyle w:val="Hyperlink"/>
            <w:rFonts w:ascii="Aptos" w:hAnsi="Aptos" w:cs="Calibri Light"/>
            <w:b/>
            <w:bCs/>
          </w:rPr>
          <w:t xml:space="preserve"> Credit Losses (Topic 326): Measurement of Credit Losses for Accounts Receivable and Contract Assets </w:t>
        </w:r>
      </w:hyperlink>
    </w:p>
    <w:p w14:paraId="164C8A14" w14:textId="43706C15" w:rsidR="00613BC0" w:rsidRPr="00057262" w:rsidRDefault="002B2BE4" w:rsidP="003E4479">
      <w:pPr>
        <w:ind w:left="360"/>
        <w:rPr>
          <w:rFonts w:ascii="Aptos" w:eastAsiaTheme="minorEastAsia" w:hAnsi="Aptos" w:cs="Calibri Light"/>
          <w:color w:val="000000" w:themeColor="text1"/>
          <w:shd w:val="clear" w:color="auto" w:fill="FFFFFF"/>
        </w:rPr>
      </w:pPr>
      <w:r w:rsidRPr="00057262">
        <w:rPr>
          <w:rFonts w:ascii="Aptos" w:eastAsiaTheme="minorEastAsia" w:hAnsi="Aptos" w:cs="Calibri Light"/>
          <w:color w:val="000000" w:themeColor="text1"/>
          <w:shd w:val="clear" w:color="auto" w:fill="FFFFFF"/>
        </w:rPr>
        <w:t>On July 30, 2025, the FASB issued </w:t>
      </w:r>
      <w:bookmarkStart w:id="4" w:name="xref-external"/>
      <w:r w:rsidRPr="00057262">
        <w:rPr>
          <w:rFonts w:ascii="Aptos" w:hAnsi="Aptos"/>
        </w:rPr>
        <w:fldChar w:fldCharType="begin"/>
      </w:r>
      <w:r w:rsidRPr="00057262">
        <w:rPr>
          <w:rFonts w:ascii="Aptos" w:eastAsiaTheme="minorEastAsia" w:hAnsi="Aptos" w:cs="Calibri Light"/>
          <w:color w:val="000000" w:themeColor="text1"/>
        </w:rPr>
        <w:instrText>HYPERLINK "https://fasb.org/Page/Document?pdf=ASU%202025-05.pdf&amp;title=Accounting%20Standards%20Update%202025-05%E2%80%94Financial%20Instruments%E2%80%94Credit%20Losses%20(Topic%20326):%20Measurement%20of%20Credit%20Losses%20for%20Accounts%20Receivable%20and%20Contract%20Assets%20for%20Private%20Companies%20and%20Certain%20Not-for-Profit%20Entities%20(PCC)" \t "_blank"</w:instrText>
      </w:r>
      <w:r w:rsidRPr="00057262">
        <w:rPr>
          <w:rFonts w:ascii="Aptos" w:hAnsi="Aptos"/>
        </w:rPr>
      </w:r>
      <w:r w:rsidRPr="00057262">
        <w:rPr>
          <w:rFonts w:ascii="Aptos" w:eastAsiaTheme="minorEastAsia" w:hAnsi="Aptos" w:cs="Calibri Light"/>
          <w:color w:val="000000" w:themeColor="text1"/>
        </w:rPr>
        <w:fldChar w:fldCharType="separate"/>
      </w:r>
      <w:r w:rsidRPr="00057262">
        <w:rPr>
          <w:rStyle w:val="Hyperlink"/>
          <w:rFonts w:ascii="Aptos" w:hAnsi="Aptos" w:cs="Calibri Light"/>
          <w:b/>
          <w:bCs/>
          <w:shd w:val="clear" w:color="auto" w:fill="FFFFFF"/>
        </w:rPr>
        <w:t>ASU 2025-05</w:t>
      </w:r>
      <w:r w:rsidRPr="00057262">
        <w:rPr>
          <w:rFonts w:ascii="Aptos" w:eastAsiaTheme="minorEastAsia" w:hAnsi="Aptos" w:cs="Calibri Light"/>
          <w:color w:val="000000" w:themeColor="text1"/>
        </w:rPr>
        <w:fldChar w:fldCharType="end"/>
      </w:r>
      <w:bookmarkEnd w:id="4"/>
      <w:r w:rsidRPr="00057262">
        <w:rPr>
          <w:rFonts w:ascii="Aptos" w:eastAsiaTheme="minorEastAsia" w:hAnsi="Aptos" w:cs="Calibri Light"/>
          <w:color w:val="000000" w:themeColor="text1"/>
          <w:shd w:val="clear" w:color="auto" w:fill="FFFFFF"/>
        </w:rPr>
        <w:t>, which amends ASC</w:t>
      </w:r>
      <w:r w:rsidR="00AF44C0" w:rsidRPr="00057262">
        <w:rPr>
          <w:rFonts w:ascii="Aptos" w:eastAsiaTheme="minorEastAsia" w:hAnsi="Aptos" w:cs="Calibri Light"/>
          <w:color w:val="000000" w:themeColor="text1"/>
          <w:shd w:val="clear" w:color="auto" w:fill="FFFFFF"/>
        </w:rPr>
        <w:t xml:space="preserve"> 326-10</w:t>
      </w:r>
      <w:r w:rsidR="00AF44C0" w:rsidRPr="00057262">
        <w:rPr>
          <w:rStyle w:val="FootnoteReference"/>
          <w:rFonts w:ascii="Aptos" w:eastAsiaTheme="minorHAnsi" w:hAnsi="Aptos" w:cs="Calibri Light"/>
          <w:color w:val="000000" w:themeColor="text1"/>
          <w:shd w:val="clear" w:color="auto" w:fill="FFFFFF"/>
        </w:rPr>
        <w:footnoteReference w:id="3"/>
      </w:r>
      <w:r w:rsidR="00AF44C0" w:rsidRPr="00057262">
        <w:rPr>
          <w:rFonts w:ascii="Aptos" w:eastAsiaTheme="minorEastAsia" w:hAnsi="Aptos" w:cs="Calibri Light"/>
          <w:color w:val="000000" w:themeColor="text1"/>
          <w:shd w:val="clear" w:color="auto" w:fill="FFFFFF"/>
        </w:rPr>
        <w:t xml:space="preserve"> and ASC</w:t>
      </w:r>
      <w:r w:rsidRPr="00057262">
        <w:rPr>
          <w:rFonts w:ascii="Aptos" w:eastAsiaTheme="minorEastAsia" w:hAnsi="Aptos" w:cs="Calibri Light"/>
          <w:color w:val="000000" w:themeColor="text1"/>
          <w:shd w:val="clear" w:color="auto" w:fill="FFFFFF"/>
        </w:rPr>
        <w:t xml:space="preserve"> 326-20</w:t>
      </w:r>
      <w:r w:rsidR="009F797F" w:rsidRPr="00057262">
        <w:rPr>
          <w:rStyle w:val="FootnoteReference"/>
          <w:rFonts w:ascii="Aptos" w:eastAsiaTheme="minorHAnsi" w:hAnsi="Aptos" w:cs="Calibri Light"/>
          <w:color w:val="000000" w:themeColor="text1"/>
          <w:shd w:val="clear" w:color="auto" w:fill="FFFFFF"/>
        </w:rPr>
        <w:footnoteReference w:id="4"/>
      </w:r>
      <w:r w:rsidRPr="00057262">
        <w:rPr>
          <w:rFonts w:ascii="Aptos" w:eastAsiaTheme="minorEastAsia" w:hAnsi="Aptos" w:cs="Calibri Light"/>
          <w:color w:val="000000" w:themeColor="text1"/>
          <w:shd w:val="clear" w:color="auto" w:fill="FFFFFF"/>
        </w:rPr>
        <w:t> to provide a practical expedient (for all entities) and an accounting policy election (for all entities, other than public business entities, that elect the practical expedient) related to the estimation of expected credit losses for current accounts receivable and current contract assets that arise from transactions accounted for under ASC 606.</w:t>
      </w:r>
      <w:r w:rsidR="00374F61" w:rsidRPr="00057262">
        <w:rPr>
          <w:rStyle w:val="FootnoteReference"/>
          <w:rFonts w:ascii="Aptos" w:eastAsiaTheme="minorHAnsi" w:hAnsi="Aptos" w:cs="Calibri Light"/>
          <w:color w:val="000000" w:themeColor="text1"/>
          <w:shd w:val="clear" w:color="auto" w:fill="FFFFFF"/>
        </w:rPr>
        <w:footnoteReference w:id="5"/>
      </w:r>
      <w:r w:rsidRPr="00057262">
        <w:rPr>
          <w:rFonts w:ascii="Aptos" w:eastAsiaTheme="minorEastAsia" w:hAnsi="Aptos" w:cs="Calibri Light"/>
          <w:color w:val="000000" w:themeColor="text1"/>
          <w:shd w:val="clear" w:color="auto" w:fill="FFFFFF"/>
        </w:rPr>
        <w:t> </w:t>
      </w:r>
      <w:r w:rsidR="00613BC0" w:rsidRPr="00057262">
        <w:rPr>
          <w:rFonts w:ascii="Aptos" w:eastAsiaTheme="minorEastAsia" w:hAnsi="Aptos" w:cs="Calibri Light"/>
          <w:color w:val="000000" w:themeColor="text1"/>
          <w:shd w:val="clear" w:color="auto" w:fill="FFFFFF"/>
        </w:rPr>
        <w:t>The amendments in the ASU add the following:</w:t>
      </w:r>
    </w:p>
    <w:p w14:paraId="00272A24" w14:textId="77777777" w:rsidR="00613BC0" w:rsidRPr="00057262" w:rsidRDefault="00613BC0" w:rsidP="00DA3367">
      <w:pPr>
        <w:numPr>
          <w:ilvl w:val="0"/>
          <w:numId w:val="24"/>
        </w:numPr>
        <w:tabs>
          <w:tab w:val="clear" w:pos="1440"/>
          <w:tab w:val="num" w:pos="360"/>
        </w:tabs>
        <w:ind w:left="360" w:firstLine="0"/>
        <w:rPr>
          <w:rFonts w:ascii="Aptos" w:eastAsiaTheme="minorEastAsia" w:hAnsi="Aptos" w:cs="Calibri Light"/>
          <w:color w:val="000000" w:themeColor="text1"/>
          <w:shd w:val="clear" w:color="auto" w:fill="FFFFFF"/>
        </w:rPr>
      </w:pPr>
      <w:r w:rsidRPr="00057262">
        <w:rPr>
          <w:rFonts w:ascii="Aptos" w:eastAsiaTheme="minorEastAsia" w:hAnsi="Aptos" w:cs="Calibri Light"/>
          <w:color w:val="000000" w:themeColor="text1"/>
        </w:rPr>
        <w:t>Practical expedient. In developing reasonable and supportable forecasts as part of estimating expected credit losses, all entities may elect</w:t>
      </w:r>
      <w:r w:rsidRPr="00057262">
        <w:rPr>
          <w:rFonts w:ascii="Aptos" w:eastAsiaTheme="minorEastAsia" w:hAnsi="Aptos" w:cs="Calibri Light"/>
          <w:color w:val="000000" w:themeColor="text1"/>
          <w:shd w:val="clear" w:color="auto" w:fill="FFFFFF"/>
        </w:rPr>
        <w:t xml:space="preserve"> a practical expedient that assumes that current conditions as of the balance sheet date do not change for the remaining life of the asset.</w:t>
      </w:r>
    </w:p>
    <w:p w14:paraId="798863C4" w14:textId="77777777" w:rsidR="00613BC0" w:rsidRPr="00057262" w:rsidRDefault="00613BC0" w:rsidP="00DA3367">
      <w:pPr>
        <w:numPr>
          <w:ilvl w:val="0"/>
          <w:numId w:val="24"/>
        </w:numPr>
        <w:tabs>
          <w:tab w:val="clear" w:pos="1440"/>
          <w:tab w:val="num" w:pos="360"/>
        </w:tabs>
        <w:ind w:left="360" w:firstLine="0"/>
        <w:rPr>
          <w:rFonts w:ascii="Aptos" w:eastAsiaTheme="minorEastAsia" w:hAnsi="Aptos" w:cs="Calibri Light"/>
          <w:color w:val="000000" w:themeColor="text1"/>
          <w:shd w:val="clear" w:color="auto" w:fill="FFFFFF"/>
        </w:rPr>
      </w:pPr>
      <w:r w:rsidRPr="00057262">
        <w:rPr>
          <w:rFonts w:ascii="Aptos" w:eastAsiaTheme="minorEastAsia" w:hAnsi="Aptos" w:cs="Calibri Light"/>
          <w:color w:val="000000" w:themeColor="text1"/>
        </w:rPr>
        <w:t xml:space="preserve">Accounting policy election. An entity other than a public business entity that elects the practical expedient </w:t>
      </w:r>
      <w:proofErr w:type="gramStart"/>
      <w:r w:rsidRPr="00057262">
        <w:rPr>
          <w:rFonts w:ascii="Aptos" w:eastAsiaTheme="minorEastAsia" w:hAnsi="Aptos" w:cs="Calibri Light"/>
          <w:color w:val="000000" w:themeColor="text1"/>
        </w:rPr>
        <w:t>is permitted</w:t>
      </w:r>
      <w:proofErr w:type="gramEnd"/>
      <w:r w:rsidRPr="00057262">
        <w:rPr>
          <w:rFonts w:ascii="Aptos" w:eastAsiaTheme="minorEastAsia" w:hAnsi="Aptos" w:cs="Calibri Light"/>
          <w:color w:val="000000" w:themeColor="text1"/>
          <w:shd w:val="clear" w:color="auto" w:fill="FFFFFF"/>
        </w:rPr>
        <w:t xml:space="preserve"> to make an accounting policy election to consider collection activity after the balance sheet date when estimating expected credit losses.</w:t>
      </w:r>
    </w:p>
    <w:p w14:paraId="116E0361" w14:textId="57CF3AC0" w:rsidR="0011685C" w:rsidRDefault="00AF3E74" w:rsidP="003E4479">
      <w:pPr>
        <w:ind w:left="360"/>
        <w:rPr>
          <w:rFonts w:ascii="Aptos" w:hAnsi="Aptos" w:cs="Calibri Light"/>
          <w:color w:val="000000" w:themeColor="text1"/>
        </w:rPr>
      </w:pPr>
      <w:r w:rsidRPr="00057262">
        <w:rPr>
          <w:rFonts w:ascii="Aptos" w:hAnsi="Aptos" w:cs="Calibri Light"/>
        </w:rPr>
        <w:t xml:space="preserve">See Deloitte’s </w:t>
      </w:r>
      <w:r w:rsidR="00A90A95" w:rsidRPr="00057262">
        <w:rPr>
          <w:rFonts w:ascii="Aptos" w:hAnsi="Aptos" w:cs="Calibri Light"/>
        </w:rPr>
        <w:t>July 3</w:t>
      </w:r>
      <w:r w:rsidR="001F26FE" w:rsidRPr="00057262">
        <w:rPr>
          <w:rFonts w:ascii="Aptos" w:hAnsi="Aptos" w:cs="Calibri Light"/>
        </w:rPr>
        <w:t>1</w:t>
      </w:r>
      <w:r w:rsidR="0011685C" w:rsidRPr="00057262">
        <w:rPr>
          <w:rFonts w:ascii="Aptos" w:hAnsi="Aptos" w:cs="Calibri Light"/>
        </w:rPr>
        <w:t>, 2025</w:t>
      </w:r>
      <w:r w:rsidRPr="00057262">
        <w:rPr>
          <w:rFonts w:ascii="Aptos" w:hAnsi="Aptos" w:cs="Calibri Light"/>
        </w:rPr>
        <w:t xml:space="preserve">, </w:t>
      </w:r>
      <w:hyperlink r:id="rId15">
        <w:r w:rsidRPr="00057262">
          <w:rPr>
            <w:rStyle w:val="Hyperlink"/>
            <w:rFonts w:ascii="Aptos" w:eastAsia="Verdana" w:hAnsi="Aptos" w:cs="Calibri Light"/>
          </w:rPr>
          <w:t>Heads Up</w:t>
        </w:r>
      </w:hyperlink>
      <w:r w:rsidRPr="00057262">
        <w:rPr>
          <w:rFonts w:ascii="Aptos" w:hAnsi="Aptos" w:cs="Calibri Light"/>
          <w:i/>
          <w:iCs/>
        </w:rPr>
        <w:t xml:space="preserve"> </w:t>
      </w:r>
      <w:r w:rsidRPr="00057262">
        <w:rPr>
          <w:rFonts w:ascii="Aptos" w:hAnsi="Aptos" w:cs="Calibri Light"/>
        </w:rPr>
        <w:t>for a summary of the amendments made by</w:t>
      </w:r>
      <w:r w:rsidR="006761CE" w:rsidRPr="00057262">
        <w:rPr>
          <w:rFonts w:ascii="Aptos" w:hAnsi="Aptos" w:cs="Calibri Light"/>
        </w:rPr>
        <w:t xml:space="preserve"> </w:t>
      </w:r>
      <w:r w:rsidR="0011685C" w:rsidRPr="00057262">
        <w:rPr>
          <w:rFonts w:ascii="Aptos" w:hAnsi="Aptos" w:cs="Calibri Light"/>
          <w:color w:val="000000" w:themeColor="text1"/>
        </w:rPr>
        <w:t>ASU 2025-0</w:t>
      </w:r>
      <w:r w:rsidR="00AC09E7" w:rsidRPr="00057262">
        <w:rPr>
          <w:rFonts w:ascii="Aptos" w:hAnsi="Aptos" w:cs="Calibri Light"/>
          <w:color w:val="000000" w:themeColor="text1"/>
        </w:rPr>
        <w:t>5</w:t>
      </w:r>
      <w:r w:rsidR="0011685C" w:rsidRPr="00057262">
        <w:rPr>
          <w:rFonts w:ascii="Aptos" w:hAnsi="Aptos" w:cs="Calibri Light"/>
          <w:color w:val="000000" w:themeColor="text1"/>
        </w:rPr>
        <w:t>.</w:t>
      </w:r>
    </w:p>
    <w:p w14:paraId="4479FBAC" w14:textId="00078472" w:rsidR="008F7990" w:rsidRPr="00DA3367" w:rsidRDefault="008F7990" w:rsidP="00DA3367">
      <w:pPr>
        <w:pStyle w:val="ListParagraph"/>
        <w:numPr>
          <w:ilvl w:val="0"/>
          <w:numId w:val="26"/>
        </w:numPr>
        <w:ind w:left="360"/>
        <w:rPr>
          <w:rFonts w:ascii="Aptos" w:hAnsi="Aptos"/>
          <w:b/>
          <w:bCs/>
          <w:color w:val="000000" w:themeColor="text1"/>
        </w:rPr>
      </w:pPr>
      <w:hyperlink r:id="rId16" w:history="1">
        <w:r w:rsidRPr="00DA3367">
          <w:rPr>
            <w:rStyle w:val="Hyperlink"/>
            <w:rFonts w:ascii="Aptos" w:eastAsia="Verdana" w:hAnsi="Aptos" w:cs="Calibri Light"/>
            <w:b/>
            <w:bCs/>
          </w:rPr>
          <w:t xml:space="preserve">2025-06 </w:t>
        </w:r>
        <w:r w:rsidR="00BD4559" w:rsidRPr="006C3303">
          <w:rPr>
            <w:rStyle w:val="Hyperlink"/>
            <w:rFonts w:ascii="Aptos" w:eastAsia="Verdana" w:hAnsi="Aptos" w:cs="Calibri Light"/>
            <w:b/>
            <w:bCs/>
          </w:rPr>
          <w:t>—</w:t>
        </w:r>
        <w:r w:rsidRPr="00DA3367">
          <w:rPr>
            <w:rStyle w:val="Hyperlink"/>
            <w:rFonts w:ascii="Aptos" w:eastAsia="Verdana" w:hAnsi="Aptos" w:cs="Calibri Light"/>
            <w:b/>
            <w:bCs/>
          </w:rPr>
          <w:t xml:space="preserve"> Intangibles </w:t>
        </w:r>
        <w:r w:rsidR="00BD4559" w:rsidRPr="006C3303">
          <w:rPr>
            <w:rStyle w:val="Hyperlink"/>
            <w:rFonts w:ascii="Aptos" w:eastAsia="Verdana" w:hAnsi="Aptos" w:cs="Calibri Light"/>
            <w:b/>
            <w:bCs/>
          </w:rPr>
          <w:t>—</w:t>
        </w:r>
        <w:r w:rsidRPr="00DA3367">
          <w:rPr>
            <w:rStyle w:val="Hyperlink"/>
            <w:rFonts w:ascii="Aptos" w:eastAsia="Verdana" w:hAnsi="Aptos" w:cs="Calibri Light"/>
            <w:b/>
            <w:bCs/>
          </w:rPr>
          <w:t xml:space="preserve"> Goodwill and Other </w:t>
        </w:r>
        <w:r w:rsidR="00BD4559" w:rsidRPr="006C3303">
          <w:rPr>
            <w:rStyle w:val="Hyperlink"/>
            <w:rFonts w:ascii="Aptos" w:eastAsia="Verdana" w:hAnsi="Aptos" w:cs="Calibri Light"/>
            <w:b/>
            <w:bCs/>
          </w:rPr>
          <w:t>—</w:t>
        </w:r>
        <w:r w:rsidRPr="00DA3367">
          <w:rPr>
            <w:rStyle w:val="Hyperlink"/>
            <w:rFonts w:ascii="Aptos" w:eastAsia="Verdana" w:hAnsi="Aptos" w:cs="Calibri Light"/>
            <w:b/>
            <w:bCs/>
          </w:rPr>
          <w:t xml:space="preserve"> Internal-Use Software (Subtopic 350-40): Targeted Improvements to the Accounting for Internal-Use Software</w:t>
        </w:r>
      </w:hyperlink>
    </w:p>
    <w:p w14:paraId="61FD1C64" w14:textId="68C030FD" w:rsidR="008F7990" w:rsidRPr="00DA3367" w:rsidRDefault="008F7990" w:rsidP="003E4479">
      <w:pPr>
        <w:ind w:left="360"/>
        <w:rPr>
          <w:rFonts w:ascii="Aptos" w:eastAsiaTheme="minorEastAsia" w:hAnsi="Aptos" w:cs="Calibri Light"/>
          <w:color w:val="000000" w:themeColor="text1"/>
          <w:shd w:val="clear" w:color="auto" w:fill="FFFFFF"/>
        </w:rPr>
      </w:pPr>
      <w:r w:rsidRPr="00DA3367">
        <w:rPr>
          <w:rFonts w:ascii="Aptos" w:eastAsiaTheme="minorEastAsia" w:hAnsi="Aptos" w:cs="Calibri Light"/>
          <w:color w:val="000000" w:themeColor="text1"/>
          <w:shd w:val="clear" w:color="auto" w:fill="FFFFFF"/>
        </w:rPr>
        <w:t>On September 18, 2025, the FASB issued </w:t>
      </w:r>
      <w:hyperlink r:id="rId17" w:tgtFrame="_blank" w:history="1">
        <w:r w:rsidRPr="00DA3367">
          <w:rPr>
            <w:rStyle w:val="Hyperlink"/>
            <w:rFonts w:ascii="Aptos" w:hAnsi="Aptos" w:cs="Calibri Light"/>
            <w:b/>
            <w:bCs/>
            <w:szCs w:val="18"/>
            <w:shd w:val="clear" w:color="auto" w:fill="FFFFFF"/>
            <w:lang w:val="en-GB"/>
          </w:rPr>
          <w:t>ASU 2025-06</w:t>
        </w:r>
      </w:hyperlink>
      <w:r w:rsidRPr="00DA3367">
        <w:rPr>
          <w:rFonts w:ascii="Aptos" w:eastAsiaTheme="minorEastAsia" w:hAnsi="Aptos" w:cs="Calibri Light"/>
          <w:color w:val="000000" w:themeColor="text1"/>
          <w:shd w:val="clear" w:color="auto" w:fill="FFFFFF"/>
        </w:rPr>
        <w:t>, which amends certain aspects of the accounting for and disclosure of software costs under ASC 350-40.</w:t>
      </w:r>
      <w:r w:rsidR="00BD4559" w:rsidRPr="0082141A">
        <w:rPr>
          <w:rStyle w:val="FootnoteReference"/>
          <w:rFonts w:ascii="Aptos" w:eastAsiaTheme="minorEastAsia" w:hAnsi="Aptos" w:cs="Calibri Light"/>
          <w:color w:val="000000" w:themeColor="text1"/>
        </w:rPr>
        <w:footnoteReference w:id="6"/>
      </w:r>
      <w:r w:rsidRPr="00DA3367">
        <w:rPr>
          <w:rFonts w:ascii="Aptos" w:eastAsiaTheme="minorEastAsia" w:hAnsi="Aptos" w:cs="Calibri Light"/>
          <w:color w:val="000000" w:themeColor="text1"/>
          <w:shd w:val="clear" w:color="auto" w:fill="FFFFFF"/>
        </w:rPr>
        <w:t> The ASU makes targeted improvements to ASC 350-40 but does not fully align the framework for accounting for internally developed software costs that are subject to ASC 350-40 with the framework applied to software to be sold or marketed externally that is subject to ASC 985-20.</w:t>
      </w:r>
      <w:r w:rsidR="00BD4559" w:rsidRPr="0082141A">
        <w:rPr>
          <w:rStyle w:val="FootnoteReference"/>
          <w:rFonts w:ascii="Aptos" w:eastAsiaTheme="minorEastAsia" w:hAnsi="Aptos" w:cs="Calibri Light"/>
          <w:color w:val="000000" w:themeColor="text1"/>
        </w:rPr>
        <w:footnoteReference w:id="7"/>
      </w:r>
      <w:r w:rsidRPr="00DA3367">
        <w:rPr>
          <w:rFonts w:ascii="Aptos" w:eastAsiaTheme="minorEastAsia" w:hAnsi="Aptos" w:cs="Calibri Light"/>
          <w:color w:val="000000" w:themeColor="text1"/>
          <w:shd w:val="clear" w:color="auto" w:fill="FFFFFF"/>
        </w:rPr>
        <w:t xml:space="preserve"> The ASU also does not amend the guidance on costs of software licenses that are within the scope of ASC 985-20. The amendments supersede the guidance on Web site development costs in ASC 350-50</w:t>
      </w:r>
      <w:r w:rsidRPr="00DA3367">
        <w:rPr>
          <w:rStyle w:val="FootnoteReference"/>
          <w:rFonts w:ascii="Aptos" w:eastAsiaTheme="minorEastAsia" w:hAnsi="Aptos" w:cs="Calibri Light"/>
          <w:color w:val="000000" w:themeColor="text1"/>
        </w:rPr>
        <w:footnoteReference w:id="8"/>
      </w:r>
      <w:r w:rsidRPr="00DA3367">
        <w:rPr>
          <w:rFonts w:ascii="Aptos" w:eastAsiaTheme="minorEastAsia" w:hAnsi="Aptos" w:cs="Calibri Light"/>
          <w:color w:val="000000" w:themeColor="text1"/>
          <w:shd w:val="clear" w:color="auto" w:fill="FFFFFF"/>
        </w:rPr>
        <w:t xml:space="preserve"> and relocate that guidance, along with the recognition requirements for development costs specific to Web sites, to ASC 350-40.</w:t>
      </w:r>
    </w:p>
    <w:p w14:paraId="2C26704A" w14:textId="3CE540F4" w:rsidR="000A3640" w:rsidRPr="00D731BE" w:rsidRDefault="000A3640" w:rsidP="003E4479">
      <w:pPr>
        <w:ind w:left="360"/>
        <w:rPr>
          <w:rFonts w:ascii="Aptos" w:hAnsi="Aptos" w:cs="Calibri Light"/>
          <w:color w:val="000000" w:themeColor="text1"/>
        </w:rPr>
      </w:pPr>
      <w:r w:rsidRPr="00D731BE">
        <w:rPr>
          <w:rFonts w:ascii="Aptos" w:hAnsi="Aptos" w:cs="Calibri Light"/>
        </w:rPr>
        <w:t xml:space="preserve">See Deloitte’s </w:t>
      </w:r>
      <w:r w:rsidR="006523AE" w:rsidRPr="00DA3367">
        <w:rPr>
          <w:rFonts w:ascii="Aptos" w:hAnsi="Aptos" w:cs="Calibri Light"/>
        </w:rPr>
        <w:t>September 18</w:t>
      </w:r>
      <w:r w:rsidRPr="00D731BE">
        <w:rPr>
          <w:rFonts w:ascii="Aptos" w:hAnsi="Aptos" w:cs="Calibri Light"/>
        </w:rPr>
        <w:t xml:space="preserve">, 2025, </w:t>
      </w:r>
      <w:hyperlink r:id="rId18">
        <w:r w:rsidRPr="00D731BE">
          <w:rPr>
            <w:rStyle w:val="Hyperlink"/>
            <w:rFonts w:ascii="Aptos" w:eastAsia="Verdana" w:hAnsi="Aptos" w:cs="Calibri Light"/>
          </w:rPr>
          <w:t>Heads Up</w:t>
        </w:r>
      </w:hyperlink>
      <w:r w:rsidRPr="00D731BE">
        <w:rPr>
          <w:rFonts w:ascii="Aptos" w:hAnsi="Aptos" w:cs="Calibri Light"/>
          <w:i/>
          <w:iCs/>
        </w:rPr>
        <w:t xml:space="preserve"> </w:t>
      </w:r>
      <w:r w:rsidRPr="00D731BE">
        <w:rPr>
          <w:rFonts w:ascii="Aptos" w:hAnsi="Aptos" w:cs="Calibri Light"/>
        </w:rPr>
        <w:t xml:space="preserve">for a summary of the amendments made by </w:t>
      </w:r>
      <w:r w:rsidRPr="00D731BE">
        <w:rPr>
          <w:rFonts w:ascii="Aptos" w:hAnsi="Aptos" w:cs="Calibri Light"/>
          <w:color w:val="000000" w:themeColor="text1"/>
        </w:rPr>
        <w:t>ASU 2025-0</w:t>
      </w:r>
      <w:r w:rsidR="00EB415B" w:rsidRPr="00DA3367">
        <w:rPr>
          <w:rFonts w:ascii="Aptos" w:hAnsi="Aptos" w:cs="Calibri Light"/>
          <w:color w:val="000000" w:themeColor="text1"/>
        </w:rPr>
        <w:t>6</w:t>
      </w:r>
      <w:r w:rsidRPr="00D731BE">
        <w:rPr>
          <w:rFonts w:ascii="Aptos" w:hAnsi="Aptos" w:cs="Calibri Light"/>
          <w:color w:val="000000" w:themeColor="text1"/>
        </w:rPr>
        <w:t>.</w:t>
      </w:r>
    </w:p>
    <w:p w14:paraId="3442C3D0" w14:textId="20635640" w:rsidR="00CB7263" w:rsidRPr="00DA3367" w:rsidRDefault="008906BF" w:rsidP="00DA3367">
      <w:pPr>
        <w:pStyle w:val="ListParagraph"/>
        <w:numPr>
          <w:ilvl w:val="0"/>
          <w:numId w:val="26"/>
        </w:numPr>
        <w:ind w:left="360"/>
        <w:rPr>
          <w:rStyle w:val="Hyperlink"/>
          <w:rFonts w:ascii="Aptos" w:eastAsia="Verdana" w:hAnsi="Aptos" w:cs="Calibri Light"/>
          <w:color w:val="000000" w:themeColor="text1"/>
        </w:rPr>
      </w:pPr>
      <w:r w:rsidRPr="00DA3367">
        <w:rPr>
          <w:rStyle w:val="Hyperlink"/>
          <w:rFonts w:ascii="Aptos" w:eastAsia="Verdana" w:hAnsi="Aptos" w:cs="Calibri Light"/>
          <w:b/>
          <w:bCs/>
        </w:rPr>
        <w:fldChar w:fldCharType="begin"/>
      </w:r>
      <w:r w:rsidRPr="00DA3367">
        <w:rPr>
          <w:rStyle w:val="Hyperlink"/>
          <w:rFonts w:ascii="Aptos" w:eastAsia="Verdana" w:hAnsi="Aptos" w:cs="Calibri Light"/>
          <w:b/>
          <w:bCs/>
        </w:rPr>
        <w:instrText>HYPERLINK "https://www.fasb.org/page/ShowPdf?path=ASU%202025-07.pdf&amp;title=Accounting%20Standards%20Update%202025-07%E2%80%94Derivatives%20and%20Hedging%20(Topic%20815)%20and%20Revenue%20from%20Contracts%20w"</w:instrText>
      </w:r>
      <w:r w:rsidRPr="00DA3367">
        <w:rPr>
          <w:rStyle w:val="Hyperlink"/>
          <w:rFonts w:ascii="Aptos" w:eastAsia="Verdana" w:hAnsi="Aptos" w:cs="Calibri Light"/>
          <w:b/>
          <w:bCs/>
        </w:rPr>
      </w:r>
      <w:r w:rsidRPr="00DA3367">
        <w:rPr>
          <w:rStyle w:val="Hyperlink"/>
          <w:rFonts w:ascii="Aptos" w:eastAsia="Verdana" w:hAnsi="Aptos" w:cs="Calibri Light"/>
          <w:b/>
          <w:bCs/>
        </w:rPr>
        <w:fldChar w:fldCharType="separate"/>
      </w:r>
      <w:r w:rsidR="00CB7263" w:rsidRPr="00DA3367">
        <w:rPr>
          <w:rStyle w:val="Hyperlink"/>
          <w:rFonts w:ascii="Aptos" w:eastAsia="Verdana" w:hAnsi="Aptos" w:cs="Calibri Light"/>
          <w:b/>
          <w:bCs/>
        </w:rPr>
        <w:t xml:space="preserve">2025-07 </w:t>
      </w:r>
      <w:r w:rsidR="00BD4559" w:rsidRPr="006C3303">
        <w:rPr>
          <w:rStyle w:val="Hyperlink"/>
          <w:rFonts w:ascii="Aptos" w:eastAsia="Verdana" w:hAnsi="Aptos" w:cs="Calibri Light"/>
          <w:b/>
          <w:bCs/>
        </w:rPr>
        <w:t>—</w:t>
      </w:r>
      <w:r w:rsidR="00CB7263" w:rsidRPr="00DA3367">
        <w:rPr>
          <w:rStyle w:val="Hyperlink"/>
          <w:rFonts w:ascii="Aptos" w:eastAsia="Verdana" w:hAnsi="Aptos" w:cs="Calibri Light"/>
          <w:b/>
          <w:bCs/>
        </w:rPr>
        <w:t xml:space="preserve"> Derivatives and Hedging (Topic 815) and Revenue from Contracts with </w:t>
      </w:r>
      <w:r w:rsidR="00CB7263" w:rsidRPr="00DA3367">
        <w:rPr>
          <w:rStyle w:val="Hyperlink"/>
          <w:rFonts w:ascii="Aptos" w:eastAsia="Verdana" w:hAnsi="Aptos" w:cs="Calibri Light"/>
          <w:b/>
          <w:bCs/>
        </w:rPr>
        <w:lastRenderedPageBreak/>
        <w:t>Customers (Topic 606)</w:t>
      </w:r>
      <w:r w:rsidR="00FB00B1" w:rsidRPr="00DA3367">
        <w:rPr>
          <w:rStyle w:val="Hyperlink"/>
          <w:rFonts w:ascii="Aptos" w:eastAsia="Verdana" w:hAnsi="Aptos" w:cs="Calibri Light"/>
          <w:b/>
          <w:bCs/>
        </w:rPr>
        <w:t>: Derivatives Scope Refinements and Scope Clarification for Share-Based Noncash Consideration from a Customer in a Revenue Contract</w:t>
      </w:r>
    </w:p>
    <w:p w14:paraId="0D619BBE" w14:textId="33F60774" w:rsidR="00CB7263" w:rsidRPr="00DA3367" w:rsidRDefault="008906BF" w:rsidP="003E4479">
      <w:pPr>
        <w:ind w:left="360"/>
        <w:rPr>
          <w:rFonts w:ascii="Aptos" w:eastAsiaTheme="minorEastAsia" w:hAnsi="Aptos" w:cs="Calibri Light"/>
          <w:color w:val="000000" w:themeColor="text1"/>
          <w:shd w:val="clear" w:color="auto" w:fill="FFFFFF"/>
        </w:rPr>
      </w:pPr>
      <w:r w:rsidRPr="00DA3367">
        <w:rPr>
          <w:rStyle w:val="Hyperlink"/>
          <w:rFonts w:ascii="Aptos" w:eastAsia="Verdana" w:hAnsi="Aptos" w:cs="Calibri Light"/>
          <w:b/>
          <w:bCs/>
        </w:rPr>
        <w:fldChar w:fldCharType="end"/>
      </w:r>
      <w:r w:rsidR="00B870E7" w:rsidRPr="00DA3367">
        <w:rPr>
          <w:rFonts w:ascii="Aptos" w:eastAsiaTheme="minorEastAsia" w:hAnsi="Aptos" w:cs="Calibri Light"/>
          <w:color w:val="000000" w:themeColor="text1"/>
          <w:shd w:val="clear" w:color="auto" w:fill="FFFFFF"/>
        </w:rPr>
        <w:t>On September 29, 2025, the FASB issued </w:t>
      </w:r>
      <w:hyperlink r:id="rId19" w:tgtFrame="_blank" w:history="1">
        <w:r w:rsidR="00B870E7" w:rsidRPr="00DA3367">
          <w:rPr>
            <w:rStyle w:val="Hyperlink"/>
            <w:rFonts w:ascii="Aptos" w:eastAsiaTheme="minorEastAsia" w:hAnsi="Aptos" w:cs="Calibri Light"/>
            <w:b/>
            <w:bCs/>
            <w:shd w:val="clear" w:color="auto" w:fill="FFFFFF"/>
          </w:rPr>
          <w:t>ASU 2025-07</w:t>
        </w:r>
      </w:hyperlink>
      <w:r w:rsidR="00B870E7" w:rsidRPr="00DA3367">
        <w:rPr>
          <w:rFonts w:ascii="Aptos" w:eastAsiaTheme="minorEastAsia" w:hAnsi="Aptos" w:cs="Calibri Light"/>
          <w:color w:val="000000" w:themeColor="text1"/>
          <w:shd w:val="clear" w:color="auto" w:fill="FFFFFF"/>
        </w:rPr>
        <w:t>, which (1) refines the scope of the guidance on derivatives in ASC 815</w:t>
      </w:r>
      <w:r w:rsidR="00484D6D" w:rsidRPr="00DA3367">
        <w:rPr>
          <w:rStyle w:val="FootnoteReference"/>
          <w:rFonts w:ascii="Aptos" w:eastAsiaTheme="minorEastAsia" w:hAnsi="Aptos" w:cs="Calibri Light"/>
          <w:color w:val="000000" w:themeColor="text1"/>
          <w:shd w:val="clear" w:color="auto" w:fill="FFFFFF"/>
        </w:rPr>
        <w:footnoteReference w:id="9"/>
      </w:r>
      <w:r w:rsidR="00B870E7" w:rsidRPr="00DA3367">
        <w:rPr>
          <w:rFonts w:ascii="Aptos" w:eastAsiaTheme="minorEastAsia" w:hAnsi="Aptos" w:cs="Calibri Light"/>
          <w:color w:val="000000" w:themeColor="text1"/>
          <w:shd w:val="clear" w:color="auto" w:fill="FFFFFF"/>
        </w:rPr>
        <w:t> (Issue 1) and (2) clarifies the guidance on share-based payments from a customer in ASC 606</w:t>
      </w:r>
      <w:r w:rsidR="00182A47" w:rsidRPr="00DA3367">
        <w:rPr>
          <w:rStyle w:val="FootnoteReference"/>
          <w:rFonts w:ascii="Aptos" w:eastAsiaTheme="minorEastAsia" w:hAnsi="Aptos" w:cs="Calibri Light"/>
          <w:color w:val="000000" w:themeColor="text1"/>
          <w:shd w:val="clear" w:color="auto" w:fill="FFFFFF"/>
        </w:rPr>
        <w:footnoteReference w:id="10"/>
      </w:r>
      <w:r w:rsidR="00B870E7" w:rsidRPr="00DA3367">
        <w:rPr>
          <w:rFonts w:ascii="Aptos" w:eastAsiaTheme="minorEastAsia" w:hAnsi="Aptos" w:cs="Calibri Light"/>
          <w:color w:val="000000" w:themeColor="text1"/>
          <w:shd w:val="clear" w:color="auto" w:fill="FFFFFF"/>
        </w:rPr>
        <w:t xml:space="preserve"> (Issue 2). The ASU </w:t>
      </w:r>
      <w:proofErr w:type="gramStart"/>
      <w:r w:rsidR="00B870E7" w:rsidRPr="00DA3367">
        <w:rPr>
          <w:rFonts w:ascii="Aptos" w:eastAsiaTheme="minorEastAsia" w:hAnsi="Aptos" w:cs="Calibri Light"/>
          <w:color w:val="000000" w:themeColor="text1"/>
          <w:shd w:val="clear" w:color="auto" w:fill="FFFFFF"/>
        </w:rPr>
        <w:t>is intended</w:t>
      </w:r>
      <w:proofErr w:type="gramEnd"/>
      <w:r w:rsidR="00B870E7" w:rsidRPr="00DA3367">
        <w:rPr>
          <w:rFonts w:ascii="Aptos" w:eastAsiaTheme="minorEastAsia" w:hAnsi="Aptos" w:cs="Calibri Light"/>
          <w:color w:val="000000" w:themeColor="text1"/>
          <w:shd w:val="clear" w:color="auto" w:fill="FFFFFF"/>
        </w:rPr>
        <w:t xml:space="preserve"> to address concerns about the application of derivative accounting to contracts that have features based on the operations or activities of one of the parties to the contract and to reduce diversity in the accounting for share-based payments in revenue contracts.</w:t>
      </w:r>
    </w:p>
    <w:p w14:paraId="01CAAE53" w14:textId="449CD540" w:rsidR="000A3640" w:rsidRPr="00B97148" w:rsidRDefault="000A3640" w:rsidP="003E4479">
      <w:pPr>
        <w:ind w:left="360"/>
        <w:rPr>
          <w:rFonts w:ascii="Aptos" w:hAnsi="Aptos" w:cs="Calibri Light"/>
          <w:color w:val="000000" w:themeColor="text1"/>
        </w:rPr>
      </w:pPr>
      <w:r w:rsidRPr="00B97148">
        <w:rPr>
          <w:rFonts w:ascii="Aptos" w:hAnsi="Aptos" w:cs="Calibri Light"/>
        </w:rPr>
        <w:t xml:space="preserve">See Deloitte’s </w:t>
      </w:r>
      <w:r w:rsidR="00182A47" w:rsidRPr="00B97148">
        <w:rPr>
          <w:rFonts w:ascii="Aptos" w:hAnsi="Aptos" w:cs="Calibri Light"/>
        </w:rPr>
        <w:t>September 29</w:t>
      </w:r>
      <w:r w:rsidRPr="00B97148">
        <w:rPr>
          <w:rFonts w:ascii="Aptos" w:hAnsi="Aptos" w:cs="Calibri Light"/>
        </w:rPr>
        <w:t xml:space="preserve">, 2025, </w:t>
      </w:r>
      <w:hyperlink r:id="rId20" w:anchor="SL1002983799-848411">
        <w:r w:rsidRPr="00B97148">
          <w:rPr>
            <w:rStyle w:val="Hyperlink"/>
            <w:rFonts w:ascii="Aptos" w:eastAsia="Verdana" w:hAnsi="Aptos" w:cs="Calibri Light"/>
          </w:rPr>
          <w:t>Heads Up</w:t>
        </w:r>
      </w:hyperlink>
      <w:r w:rsidRPr="00B97148">
        <w:rPr>
          <w:rFonts w:ascii="Aptos" w:hAnsi="Aptos" w:cs="Calibri Light"/>
          <w:i/>
          <w:iCs/>
        </w:rPr>
        <w:t xml:space="preserve"> </w:t>
      </w:r>
      <w:r w:rsidRPr="00B97148">
        <w:rPr>
          <w:rFonts w:ascii="Aptos" w:hAnsi="Aptos" w:cs="Calibri Light"/>
        </w:rPr>
        <w:t xml:space="preserve">for a summary of the amendments made by </w:t>
      </w:r>
      <w:r w:rsidRPr="00B97148">
        <w:rPr>
          <w:rFonts w:ascii="Aptos" w:hAnsi="Aptos" w:cs="Calibri Light"/>
          <w:color w:val="000000" w:themeColor="text1"/>
        </w:rPr>
        <w:t>ASU 2025-0</w:t>
      </w:r>
      <w:r w:rsidR="004B19C8" w:rsidRPr="00B97148">
        <w:rPr>
          <w:rFonts w:ascii="Aptos" w:hAnsi="Aptos" w:cs="Calibri Light"/>
          <w:color w:val="000000" w:themeColor="text1"/>
        </w:rPr>
        <w:t>7</w:t>
      </w:r>
      <w:r w:rsidRPr="00B97148">
        <w:rPr>
          <w:rFonts w:ascii="Aptos" w:hAnsi="Aptos" w:cs="Calibri Light"/>
          <w:color w:val="000000" w:themeColor="text1"/>
        </w:rPr>
        <w:t>.</w:t>
      </w:r>
    </w:p>
    <w:p w14:paraId="5C98977A" w14:textId="67AD0A49" w:rsidR="00FC64D9" w:rsidRPr="00057262" w:rsidDel="00843B5C" w:rsidRDefault="00EE0128" w:rsidP="0099756A">
      <w:pPr>
        <w:pStyle w:val="PABulletLink75IND"/>
        <w:numPr>
          <w:ilvl w:val="0"/>
          <w:numId w:val="0"/>
        </w:numPr>
        <w:spacing w:before="0" w:after="240"/>
        <w:rPr>
          <w:rFonts w:ascii="Aptos" w:hAnsi="Aptos" w:cs="Calibri Light"/>
          <w:b/>
          <w:bCs/>
          <w:sz w:val="28"/>
          <w:szCs w:val="28"/>
        </w:rPr>
      </w:pPr>
      <w:r w:rsidRPr="00057262">
        <w:rPr>
          <w:rFonts w:ascii="Aptos" w:hAnsi="Aptos" w:cs="Calibri Light"/>
          <w:b/>
          <w:bCs/>
          <w:sz w:val="28"/>
          <w:szCs w:val="28"/>
        </w:rPr>
        <w:t xml:space="preserve">Changes Reflected in the </w:t>
      </w:r>
      <w:r w:rsidR="0042616E" w:rsidRPr="00057262">
        <w:rPr>
          <w:rFonts w:ascii="Aptos" w:hAnsi="Aptos" w:cs="Calibri Light"/>
          <w:b/>
          <w:bCs/>
          <w:sz w:val="28"/>
          <w:szCs w:val="28"/>
        </w:rPr>
        <w:t>U.S</w:t>
      </w:r>
      <w:r w:rsidR="00435B49" w:rsidRPr="00057262">
        <w:rPr>
          <w:rFonts w:ascii="Aptos" w:hAnsi="Aptos" w:cs="Calibri Light"/>
          <w:b/>
          <w:bCs/>
          <w:sz w:val="28"/>
          <w:szCs w:val="28"/>
        </w:rPr>
        <w:t>.</w:t>
      </w:r>
      <w:r w:rsidR="0042616E" w:rsidRPr="00057262">
        <w:rPr>
          <w:rFonts w:ascii="Aptos" w:hAnsi="Aptos" w:cs="Calibri Light"/>
          <w:b/>
          <w:bCs/>
          <w:sz w:val="28"/>
          <w:szCs w:val="28"/>
        </w:rPr>
        <w:t xml:space="preserve"> GAAP </w:t>
      </w:r>
      <w:r w:rsidRPr="00057262">
        <w:rPr>
          <w:rFonts w:ascii="Aptos" w:hAnsi="Aptos" w:cs="Calibri Light"/>
          <w:b/>
          <w:bCs/>
          <w:sz w:val="28"/>
          <w:szCs w:val="28"/>
        </w:rPr>
        <w:t>Checklist</w:t>
      </w:r>
      <w:r w:rsidR="0042616E" w:rsidRPr="00057262">
        <w:rPr>
          <w:rFonts w:ascii="Aptos" w:hAnsi="Aptos" w:cs="Calibri Light"/>
          <w:b/>
          <w:bCs/>
          <w:sz w:val="28"/>
          <w:szCs w:val="28"/>
        </w:rPr>
        <w:t xml:space="preserve"> </w:t>
      </w:r>
      <w:r w:rsidR="00C130F3" w:rsidRPr="00057262">
        <w:rPr>
          <w:rFonts w:ascii="Aptos" w:hAnsi="Aptos" w:cs="Calibri Light"/>
          <w:b/>
          <w:bCs/>
          <w:sz w:val="28"/>
          <w:szCs w:val="28"/>
        </w:rPr>
        <w:t>and Codification</w:t>
      </w:r>
    </w:p>
    <w:p w14:paraId="7D36C3BE" w14:textId="0BDA3FA0" w:rsidR="001A19EF" w:rsidRPr="00057262" w:rsidRDefault="001A19EF" w:rsidP="00EA1E1F">
      <w:pPr>
        <w:rPr>
          <w:rFonts w:ascii="Aptos" w:hAnsi="Aptos" w:cs="Calibri Light"/>
        </w:rPr>
      </w:pPr>
      <w:r w:rsidRPr="00057262">
        <w:rPr>
          <w:rFonts w:ascii="Aptos" w:hAnsi="Aptos" w:cs="Calibri Light"/>
        </w:rPr>
        <w:t xml:space="preserve">When the FASB amends the Codification with an ASU, each paragraph that </w:t>
      </w:r>
      <w:proofErr w:type="gramStart"/>
      <w:r w:rsidRPr="00057262">
        <w:rPr>
          <w:rFonts w:ascii="Aptos" w:hAnsi="Aptos" w:cs="Calibri Light"/>
        </w:rPr>
        <w:t>was amended</w:t>
      </w:r>
      <w:proofErr w:type="gramEnd"/>
      <w:r w:rsidRPr="00057262">
        <w:rPr>
          <w:rFonts w:ascii="Aptos" w:hAnsi="Aptos" w:cs="Calibri Light"/>
        </w:rPr>
        <w:t xml:space="preserve"> by the ASU </w:t>
      </w:r>
      <w:proofErr w:type="gramStart"/>
      <w:r w:rsidRPr="00057262">
        <w:rPr>
          <w:rFonts w:ascii="Aptos" w:hAnsi="Aptos" w:cs="Calibri Light"/>
        </w:rPr>
        <w:t>is left</w:t>
      </w:r>
      <w:proofErr w:type="gramEnd"/>
      <w:r w:rsidRPr="00057262">
        <w:rPr>
          <w:rFonts w:ascii="Aptos" w:hAnsi="Aptos" w:cs="Calibri Light"/>
        </w:rPr>
        <w:t xml:space="preserve"> unchanged (for entities that have not adopted the ASU) but </w:t>
      </w:r>
      <w:proofErr w:type="gramStart"/>
      <w:r w:rsidRPr="00057262">
        <w:rPr>
          <w:rFonts w:ascii="Aptos" w:hAnsi="Aptos" w:cs="Calibri Light"/>
        </w:rPr>
        <w:t>is followed</w:t>
      </w:r>
      <w:proofErr w:type="gramEnd"/>
      <w:r w:rsidRPr="00057262">
        <w:rPr>
          <w:rFonts w:ascii="Aptos" w:hAnsi="Aptos" w:cs="Calibri Light"/>
        </w:rPr>
        <w:t xml:space="preserve"> by a paragraph containing “pending content</w:t>
      </w:r>
      <w:r w:rsidR="0014471D" w:rsidRPr="00057262">
        <w:rPr>
          <w:rFonts w:ascii="Aptos" w:hAnsi="Aptos" w:cs="Calibri Light"/>
        </w:rPr>
        <w:t>.</w:t>
      </w:r>
      <w:r w:rsidRPr="00057262">
        <w:rPr>
          <w:rFonts w:ascii="Aptos" w:hAnsi="Aptos" w:cs="Calibri Light"/>
        </w:rPr>
        <w:t xml:space="preserve">” </w:t>
      </w:r>
      <w:r w:rsidR="00DB1159" w:rsidRPr="00057262">
        <w:rPr>
          <w:rFonts w:ascii="Aptos" w:hAnsi="Aptos" w:cs="Calibri Light"/>
        </w:rPr>
        <w:t>Upon adoption of an ASU, entities</w:t>
      </w:r>
      <w:r w:rsidRPr="00057262">
        <w:rPr>
          <w:rFonts w:ascii="Aptos" w:hAnsi="Aptos" w:cs="Calibri Light"/>
        </w:rPr>
        <w:t xml:space="preserve"> need to complete the amended </w:t>
      </w:r>
      <w:r w:rsidR="001A1182" w:rsidRPr="00057262">
        <w:rPr>
          <w:rFonts w:ascii="Aptos" w:hAnsi="Aptos" w:cs="Calibri Light"/>
        </w:rPr>
        <w:t xml:space="preserve">subtopic </w:t>
      </w:r>
      <w:r w:rsidRPr="00057262">
        <w:rPr>
          <w:rFonts w:ascii="Aptos" w:hAnsi="Aptos" w:cs="Calibri Light"/>
        </w:rPr>
        <w:t>using the pending content for each paragraph that</w:t>
      </w:r>
      <w:r w:rsidR="00FA37BB" w:rsidRPr="00057262">
        <w:rPr>
          <w:rFonts w:ascii="Aptos" w:hAnsi="Aptos" w:cs="Calibri Light"/>
        </w:rPr>
        <w:t xml:space="preserve"> has </w:t>
      </w:r>
      <w:proofErr w:type="gramStart"/>
      <w:r w:rsidR="00FA37BB" w:rsidRPr="00057262">
        <w:rPr>
          <w:rFonts w:ascii="Aptos" w:hAnsi="Aptos" w:cs="Calibri Light"/>
        </w:rPr>
        <w:t>been</w:t>
      </w:r>
      <w:r w:rsidRPr="00057262">
        <w:rPr>
          <w:rFonts w:ascii="Aptos" w:hAnsi="Aptos" w:cs="Calibri Light"/>
        </w:rPr>
        <w:t xml:space="preserve"> </w:t>
      </w:r>
      <w:r w:rsidR="00F50BE2" w:rsidRPr="00057262">
        <w:rPr>
          <w:rFonts w:ascii="Aptos" w:hAnsi="Aptos" w:cs="Calibri Light"/>
        </w:rPr>
        <w:t>adopted</w:t>
      </w:r>
      <w:proofErr w:type="gramEnd"/>
      <w:r w:rsidRPr="00057262">
        <w:rPr>
          <w:rFonts w:ascii="Aptos" w:hAnsi="Aptos" w:cs="Calibri Light"/>
        </w:rPr>
        <w:t>.</w:t>
      </w:r>
    </w:p>
    <w:p w14:paraId="4ABE6D59" w14:textId="4FF128CB" w:rsidR="00BE4072" w:rsidRPr="00E24FF8" w:rsidDel="0054012D" w:rsidRDefault="0054012D" w:rsidP="00DA3367">
      <w:pPr>
        <w:pStyle w:val="ListParagraph"/>
        <w:numPr>
          <w:ilvl w:val="0"/>
          <w:numId w:val="26"/>
        </w:numPr>
        <w:ind w:left="360"/>
        <w:rPr>
          <w:rFonts w:ascii="Aptos" w:hAnsi="Aptos"/>
          <w:b/>
          <w:bCs/>
        </w:rPr>
      </w:pPr>
      <w:hyperlink r:id="rId21" w:history="1">
        <w:r w:rsidRPr="00E24FF8">
          <w:rPr>
            <w:rStyle w:val="Hyperlink"/>
            <w:rFonts w:ascii="Aptos" w:hAnsi="Aptos" w:cs="Calibri"/>
            <w:b/>
            <w:bCs/>
          </w:rPr>
          <w:t xml:space="preserve">2025-05 </w:t>
        </w:r>
        <w:r w:rsidR="00057262" w:rsidRPr="00E24FF8">
          <w:rPr>
            <w:rStyle w:val="Hyperlink"/>
            <w:rFonts w:ascii="Aptos" w:hAnsi="Aptos" w:cs="Calibri"/>
            <w:b/>
            <w:bCs/>
          </w:rPr>
          <w:t>—</w:t>
        </w:r>
        <w:r w:rsidRPr="00E24FF8">
          <w:rPr>
            <w:rStyle w:val="Hyperlink"/>
            <w:rFonts w:ascii="Aptos" w:hAnsi="Aptos" w:cs="Calibri"/>
            <w:b/>
            <w:bCs/>
          </w:rPr>
          <w:t xml:space="preserve"> Financial Instruments </w:t>
        </w:r>
        <w:r w:rsidR="00057262" w:rsidRPr="00E24FF8">
          <w:rPr>
            <w:rStyle w:val="Hyperlink"/>
            <w:rFonts w:ascii="Aptos" w:hAnsi="Aptos" w:cs="Calibri"/>
            <w:b/>
            <w:bCs/>
          </w:rPr>
          <w:t>—</w:t>
        </w:r>
        <w:r w:rsidRPr="00E24FF8">
          <w:rPr>
            <w:rStyle w:val="Hyperlink"/>
            <w:rFonts w:ascii="Aptos" w:hAnsi="Aptos" w:cs="Calibri"/>
            <w:b/>
            <w:bCs/>
          </w:rPr>
          <w:t xml:space="preserve"> Credit Losses (Topic 326): Measurement of Credit Losses for Accounts Receivable and Contract Assets</w:t>
        </w:r>
      </w:hyperlink>
      <w:r w:rsidRPr="00E24FF8" w:rsidDel="0054012D">
        <w:rPr>
          <w:rFonts w:ascii="Aptos" w:hAnsi="Aptos"/>
          <w:b/>
          <w:bCs/>
        </w:rPr>
        <w:t xml:space="preserve"> </w:t>
      </w:r>
    </w:p>
    <w:p w14:paraId="7FD3D031" w14:textId="075A2A02" w:rsidR="00AF3E74" w:rsidRPr="00057262" w:rsidRDefault="00AF3E74" w:rsidP="00DA3367">
      <w:pPr>
        <w:ind w:left="360"/>
        <w:rPr>
          <w:rFonts w:ascii="Aptos" w:hAnsi="Aptos"/>
        </w:rPr>
      </w:pPr>
      <w:r w:rsidRPr="00057262">
        <w:rPr>
          <w:rFonts w:ascii="Aptos" w:hAnsi="Aptos" w:cs="Calibri Light"/>
        </w:rPr>
        <w:t xml:space="preserve">The following sections have not </w:t>
      </w:r>
      <w:proofErr w:type="gramStart"/>
      <w:r w:rsidRPr="00057262">
        <w:rPr>
          <w:rFonts w:ascii="Aptos" w:hAnsi="Aptos" w:cs="Calibri Light"/>
        </w:rPr>
        <w:t>been updated</w:t>
      </w:r>
      <w:proofErr w:type="gramEnd"/>
      <w:r w:rsidRPr="00057262">
        <w:rPr>
          <w:rFonts w:ascii="Aptos" w:hAnsi="Aptos" w:cs="Calibri Light"/>
        </w:rPr>
        <w:t xml:space="preserve"> in the U.S. GAAP Checklist because there are no questions related to background, scope, </w:t>
      </w:r>
      <w:r w:rsidR="00EE6C16" w:rsidRPr="00057262">
        <w:rPr>
          <w:rFonts w:ascii="Aptos" w:hAnsi="Aptos" w:cs="Calibri Light"/>
        </w:rPr>
        <w:t xml:space="preserve">glossary, </w:t>
      </w:r>
      <w:r w:rsidRPr="00057262">
        <w:rPr>
          <w:rFonts w:ascii="Aptos" w:hAnsi="Aptos" w:cs="Calibri Light"/>
        </w:rPr>
        <w:t xml:space="preserve">implementation, or SEC Materials guidance, but the sections </w:t>
      </w:r>
      <w:proofErr w:type="gramStart"/>
      <w:r w:rsidRPr="00057262">
        <w:rPr>
          <w:rFonts w:ascii="Aptos" w:hAnsi="Aptos" w:cs="Calibri Light"/>
        </w:rPr>
        <w:t>were amended</w:t>
      </w:r>
      <w:proofErr w:type="gramEnd"/>
      <w:r w:rsidRPr="00057262">
        <w:rPr>
          <w:rFonts w:ascii="Aptos" w:hAnsi="Aptos" w:cs="Calibri Light"/>
        </w:rPr>
        <w:t xml:space="preserve"> in the Codification to reflect the clarifications made in the ASU as described above:</w:t>
      </w:r>
    </w:p>
    <w:p w14:paraId="7CF23EDE" w14:textId="1D92B4D5" w:rsidR="00D7102C" w:rsidRPr="00D7102C" w:rsidRDefault="009B6023" w:rsidP="00D7102C">
      <w:pPr>
        <w:pStyle w:val="PABullet1"/>
        <w:numPr>
          <w:ilvl w:val="0"/>
          <w:numId w:val="9"/>
        </w:numPr>
        <w:spacing w:before="240" w:after="240"/>
        <w:ind w:left="720"/>
        <w:rPr>
          <w:rFonts w:ascii="Aptos" w:hAnsi="Aptos" w:cs="Calibri Light"/>
        </w:rPr>
      </w:pPr>
      <w:hyperlink r:id="rId22" w:history="1">
        <w:r>
          <w:rPr>
            <w:rStyle w:val="Hyperlink"/>
            <w:rFonts w:ascii="Aptos" w:hAnsi="Aptos" w:cs="Calibri Light"/>
          </w:rPr>
          <w:t>326-10-65</w:t>
        </w:r>
      </w:hyperlink>
      <w:r>
        <w:rPr>
          <w:rFonts w:ascii="Aptos" w:hAnsi="Aptos" w:cs="Calibri Light"/>
        </w:rPr>
        <w:t>,</w:t>
      </w:r>
      <w:r w:rsidR="00D7102C" w:rsidRPr="00057262">
        <w:rPr>
          <w:rFonts w:ascii="Aptos" w:hAnsi="Aptos" w:cs="Calibri Light"/>
        </w:rPr>
        <w:t xml:space="preserve"> </w:t>
      </w:r>
      <w:r w:rsidR="00D7102C" w:rsidRPr="00057262">
        <w:rPr>
          <w:rFonts w:ascii="Aptos" w:hAnsi="Aptos" w:cs="Calibri Light"/>
          <w:i/>
          <w:iCs/>
        </w:rPr>
        <w:t xml:space="preserve">Financial Instruments </w:t>
      </w:r>
      <w:r w:rsidR="00D7102C">
        <w:rPr>
          <w:rFonts w:ascii="Aptos" w:hAnsi="Aptos" w:cs="Calibri Light"/>
          <w:i/>
          <w:iCs/>
        </w:rPr>
        <w:t>—</w:t>
      </w:r>
      <w:r w:rsidR="00D7102C" w:rsidRPr="00057262">
        <w:rPr>
          <w:rFonts w:ascii="Aptos" w:hAnsi="Aptos" w:cs="Calibri Light"/>
          <w:i/>
          <w:iCs/>
        </w:rPr>
        <w:t xml:space="preserve"> Credit Losses </w:t>
      </w:r>
      <w:r w:rsidR="00D7102C">
        <w:rPr>
          <w:rFonts w:ascii="Aptos" w:hAnsi="Aptos" w:cs="Calibri Light"/>
          <w:i/>
          <w:iCs/>
        </w:rPr>
        <w:t>—</w:t>
      </w:r>
      <w:r w:rsidR="00D7102C" w:rsidRPr="00057262">
        <w:rPr>
          <w:rFonts w:ascii="Aptos" w:hAnsi="Aptos" w:cs="Calibri Light"/>
          <w:i/>
          <w:iCs/>
        </w:rPr>
        <w:t xml:space="preserve"> Overall </w:t>
      </w:r>
      <w:r w:rsidR="00D7102C">
        <w:rPr>
          <w:rFonts w:ascii="Aptos" w:hAnsi="Aptos" w:cs="Calibri Light"/>
          <w:i/>
          <w:iCs/>
        </w:rPr>
        <w:t>—</w:t>
      </w:r>
      <w:r w:rsidR="00D7102C" w:rsidRPr="00057262">
        <w:rPr>
          <w:rFonts w:ascii="Aptos" w:hAnsi="Aptos" w:cs="Calibri Light"/>
          <w:i/>
          <w:iCs/>
        </w:rPr>
        <w:t xml:space="preserve"> Transition and Open Effective Date Information</w:t>
      </w:r>
    </w:p>
    <w:p w14:paraId="20BE5466" w14:textId="00BF0E12" w:rsidR="00975B4B" w:rsidRPr="00057262" w:rsidRDefault="009B6023" w:rsidP="00010FBE">
      <w:pPr>
        <w:pStyle w:val="PABullet1"/>
        <w:numPr>
          <w:ilvl w:val="0"/>
          <w:numId w:val="9"/>
        </w:numPr>
        <w:spacing w:before="240" w:after="240"/>
        <w:ind w:left="720"/>
        <w:rPr>
          <w:rFonts w:ascii="Aptos" w:hAnsi="Aptos" w:cs="Calibri Light"/>
        </w:rPr>
      </w:pPr>
      <w:hyperlink r:id="rId23" w:history="1">
        <w:r>
          <w:rPr>
            <w:rStyle w:val="Hyperlink"/>
            <w:rFonts w:ascii="Aptos" w:hAnsi="Aptos" w:cs="Calibri Light"/>
          </w:rPr>
          <w:t>326-20-20</w:t>
        </w:r>
      </w:hyperlink>
      <w:r>
        <w:rPr>
          <w:rFonts w:ascii="Aptos" w:hAnsi="Aptos" w:cs="Calibri Light"/>
        </w:rPr>
        <w:t>,</w:t>
      </w:r>
      <w:r w:rsidR="00A83DBF" w:rsidRPr="00057262">
        <w:rPr>
          <w:rFonts w:ascii="Aptos" w:hAnsi="Aptos" w:cs="Calibri Light"/>
        </w:rPr>
        <w:t xml:space="preserve"> </w:t>
      </w:r>
      <w:r w:rsidR="00A83DBF" w:rsidRPr="00057262">
        <w:rPr>
          <w:rFonts w:ascii="Aptos" w:hAnsi="Aptos" w:cs="Calibri Light"/>
          <w:i/>
          <w:iCs/>
        </w:rPr>
        <w:t xml:space="preserve">Financial Instruments </w:t>
      </w:r>
      <w:r w:rsidR="00057262" w:rsidRPr="00057262">
        <w:rPr>
          <w:rFonts w:ascii="Aptos" w:hAnsi="Aptos" w:cs="Calibri Light"/>
          <w:i/>
          <w:iCs/>
        </w:rPr>
        <w:t>—</w:t>
      </w:r>
      <w:r w:rsidR="00A83DBF" w:rsidRPr="00057262">
        <w:rPr>
          <w:rFonts w:ascii="Aptos" w:hAnsi="Aptos" w:cs="Calibri Light"/>
          <w:i/>
          <w:iCs/>
        </w:rPr>
        <w:t xml:space="preserve"> Credit Losses </w:t>
      </w:r>
      <w:r w:rsidR="00057262" w:rsidRPr="00057262">
        <w:rPr>
          <w:rFonts w:ascii="Aptos" w:hAnsi="Aptos" w:cs="Calibri Light"/>
          <w:i/>
          <w:iCs/>
        </w:rPr>
        <w:t>—</w:t>
      </w:r>
      <w:r w:rsidR="00A83DBF" w:rsidRPr="00057262">
        <w:rPr>
          <w:rFonts w:ascii="Aptos" w:hAnsi="Aptos" w:cs="Calibri Light"/>
          <w:i/>
          <w:iCs/>
        </w:rPr>
        <w:t xml:space="preserve"> Measured at Amortized Cost </w:t>
      </w:r>
      <w:r w:rsidR="00057262" w:rsidRPr="00057262">
        <w:rPr>
          <w:rFonts w:ascii="Aptos" w:hAnsi="Aptos" w:cs="Calibri Light"/>
          <w:i/>
          <w:iCs/>
        </w:rPr>
        <w:t>—</w:t>
      </w:r>
      <w:r w:rsidR="00A83DBF" w:rsidRPr="00057262">
        <w:rPr>
          <w:rFonts w:ascii="Aptos" w:hAnsi="Aptos" w:cs="Calibri Light"/>
          <w:i/>
          <w:iCs/>
        </w:rPr>
        <w:t xml:space="preserve"> Glossary</w:t>
      </w:r>
    </w:p>
    <w:p w14:paraId="341985D9" w14:textId="1AF38E01" w:rsidR="00CC0E93" w:rsidRPr="00057262" w:rsidRDefault="009B6023" w:rsidP="00E2495C">
      <w:pPr>
        <w:pStyle w:val="PABullet1"/>
        <w:numPr>
          <w:ilvl w:val="0"/>
          <w:numId w:val="9"/>
        </w:numPr>
        <w:spacing w:before="240" w:after="240"/>
        <w:ind w:left="720"/>
        <w:rPr>
          <w:rFonts w:ascii="Aptos" w:hAnsi="Aptos" w:cs="Calibri Light"/>
        </w:rPr>
      </w:pPr>
      <w:hyperlink r:id="rId24" w:history="1">
        <w:r>
          <w:rPr>
            <w:rStyle w:val="Hyperlink"/>
            <w:rFonts w:ascii="Aptos" w:hAnsi="Aptos" w:cs="Calibri Light"/>
          </w:rPr>
          <w:t>326-20-55</w:t>
        </w:r>
      </w:hyperlink>
      <w:r>
        <w:rPr>
          <w:rFonts w:ascii="Aptos" w:hAnsi="Aptos" w:cs="Calibri Light"/>
        </w:rPr>
        <w:t>,</w:t>
      </w:r>
      <w:r w:rsidR="00CC0E93" w:rsidRPr="00057262">
        <w:rPr>
          <w:rFonts w:ascii="Aptos" w:hAnsi="Aptos" w:cs="Calibri Light"/>
        </w:rPr>
        <w:t xml:space="preserve"> </w:t>
      </w:r>
      <w:r w:rsidR="00CC0E93" w:rsidRPr="00057262">
        <w:rPr>
          <w:rFonts w:ascii="Aptos" w:hAnsi="Aptos" w:cs="Calibri Light"/>
          <w:i/>
          <w:iCs/>
        </w:rPr>
        <w:t xml:space="preserve">Financial Instruments </w:t>
      </w:r>
      <w:r w:rsidR="00057262" w:rsidRPr="00057262">
        <w:rPr>
          <w:rFonts w:ascii="Aptos" w:hAnsi="Aptos" w:cs="Calibri Light"/>
          <w:i/>
          <w:iCs/>
        </w:rPr>
        <w:t>—</w:t>
      </w:r>
      <w:r w:rsidR="00CC0E93" w:rsidRPr="00057262">
        <w:rPr>
          <w:rFonts w:ascii="Aptos" w:hAnsi="Aptos" w:cs="Calibri Light"/>
          <w:i/>
          <w:iCs/>
        </w:rPr>
        <w:t xml:space="preserve"> Credit Losses </w:t>
      </w:r>
      <w:r w:rsidR="00057262" w:rsidRPr="00057262">
        <w:rPr>
          <w:rFonts w:ascii="Aptos" w:hAnsi="Aptos" w:cs="Calibri Light"/>
          <w:i/>
          <w:iCs/>
        </w:rPr>
        <w:t>—</w:t>
      </w:r>
      <w:r w:rsidR="00CC0E93" w:rsidRPr="00057262">
        <w:rPr>
          <w:rFonts w:ascii="Aptos" w:hAnsi="Aptos" w:cs="Calibri Light"/>
          <w:i/>
          <w:iCs/>
        </w:rPr>
        <w:t xml:space="preserve"> Measured at Amortized Cost </w:t>
      </w:r>
      <w:r w:rsidR="00057262" w:rsidRPr="00057262">
        <w:rPr>
          <w:rFonts w:ascii="Aptos" w:hAnsi="Aptos" w:cs="Calibri Light"/>
          <w:i/>
          <w:iCs/>
        </w:rPr>
        <w:t>—</w:t>
      </w:r>
      <w:r w:rsidR="00CC0E93" w:rsidRPr="00057262">
        <w:rPr>
          <w:rFonts w:ascii="Aptos" w:hAnsi="Aptos" w:cs="Calibri Light"/>
          <w:i/>
          <w:iCs/>
        </w:rPr>
        <w:t xml:space="preserve"> Implementation Guidance and Illustrations</w:t>
      </w:r>
    </w:p>
    <w:p w14:paraId="38DC4B43" w14:textId="449FA2E7" w:rsidR="002B38DE" w:rsidRPr="00057262" w:rsidRDefault="002B38DE" w:rsidP="001074EB">
      <w:pPr>
        <w:spacing w:before="240"/>
        <w:ind w:left="360"/>
        <w:rPr>
          <w:rFonts w:ascii="Aptos" w:hAnsi="Aptos" w:cs="Calibri Light"/>
        </w:rPr>
      </w:pPr>
      <w:r w:rsidRPr="00057262">
        <w:rPr>
          <w:rFonts w:ascii="Aptos" w:hAnsi="Aptos" w:cs="Calibri Light"/>
        </w:rPr>
        <w:t xml:space="preserve">As a result of this ASU, the following sections have </w:t>
      </w:r>
      <w:proofErr w:type="gramStart"/>
      <w:r w:rsidRPr="00057262">
        <w:rPr>
          <w:rFonts w:ascii="Aptos" w:hAnsi="Aptos" w:cs="Calibri Light"/>
        </w:rPr>
        <w:t>been updated</w:t>
      </w:r>
      <w:proofErr w:type="gramEnd"/>
      <w:r w:rsidRPr="00057262">
        <w:rPr>
          <w:rFonts w:ascii="Aptos" w:hAnsi="Aptos" w:cs="Calibri Light"/>
        </w:rPr>
        <w:t xml:space="preserve"> in the U.S. GAAP Checklist:</w:t>
      </w:r>
    </w:p>
    <w:p w14:paraId="3EA87831" w14:textId="5947A9E8" w:rsidR="00081D43" w:rsidRPr="00057262" w:rsidRDefault="00611539" w:rsidP="00081D43">
      <w:pPr>
        <w:pStyle w:val="PABullet1"/>
        <w:numPr>
          <w:ilvl w:val="0"/>
          <w:numId w:val="9"/>
        </w:numPr>
        <w:spacing w:before="240" w:after="240"/>
        <w:ind w:left="720"/>
        <w:rPr>
          <w:rFonts w:ascii="Aptos" w:hAnsi="Aptos" w:cs="Calibri Light"/>
        </w:rPr>
      </w:pPr>
      <w:hyperlink r:id="rId25" w:history="1">
        <w:r>
          <w:rPr>
            <w:rStyle w:val="Hyperlink"/>
            <w:rFonts w:ascii="Aptos" w:hAnsi="Aptos" w:cs="Calibri Light"/>
          </w:rPr>
          <w:t>326-20-30</w:t>
        </w:r>
      </w:hyperlink>
      <w:r>
        <w:rPr>
          <w:rFonts w:ascii="Aptos" w:hAnsi="Aptos" w:cs="Calibri Light"/>
        </w:rPr>
        <w:t>,</w:t>
      </w:r>
      <w:r w:rsidR="001670E0" w:rsidRPr="00057262">
        <w:rPr>
          <w:rFonts w:ascii="Aptos" w:hAnsi="Aptos" w:cs="Calibri Light"/>
          <w:i/>
          <w:iCs/>
        </w:rPr>
        <w:t xml:space="preserve"> Financial Instruments </w:t>
      </w:r>
      <w:r w:rsidR="00057262">
        <w:rPr>
          <w:rFonts w:ascii="Aptos" w:hAnsi="Aptos" w:cs="Calibri Light"/>
          <w:i/>
          <w:iCs/>
        </w:rPr>
        <w:t>—</w:t>
      </w:r>
      <w:r w:rsidR="001670E0" w:rsidRPr="00057262">
        <w:rPr>
          <w:rFonts w:ascii="Aptos" w:hAnsi="Aptos" w:cs="Calibri Light"/>
          <w:i/>
          <w:iCs/>
        </w:rPr>
        <w:t xml:space="preserve"> Credit Losses </w:t>
      </w:r>
      <w:r w:rsidR="00057262">
        <w:rPr>
          <w:rFonts w:ascii="Aptos" w:hAnsi="Aptos" w:cs="Calibri Light"/>
          <w:i/>
          <w:iCs/>
        </w:rPr>
        <w:t>—</w:t>
      </w:r>
      <w:r w:rsidR="001670E0" w:rsidRPr="00057262">
        <w:rPr>
          <w:rFonts w:ascii="Aptos" w:hAnsi="Aptos" w:cs="Calibri Light"/>
          <w:i/>
          <w:iCs/>
        </w:rPr>
        <w:t xml:space="preserve"> Measured at Amortized Cost </w:t>
      </w:r>
      <w:r w:rsidR="00057262">
        <w:rPr>
          <w:rFonts w:ascii="Aptos" w:hAnsi="Aptos" w:cs="Calibri Light"/>
          <w:i/>
          <w:iCs/>
        </w:rPr>
        <w:t>—</w:t>
      </w:r>
      <w:r w:rsidR="001670E0" w:rsidRPr="00057262">
        <w:rPr>
          <w:rFonts w:ascii="Aptos" w:hAnsi="Aptos" w:cs="Calibri Light"/>
          <w:i/>
          <w:iCs/>
        </w:rPr>
        <w:t xml:space="preserve"> </w:t>
      </w:r>
      <w:r w:rsidR="00A81C0A" w:rsidRPr="00057262">
        <w:rPr>
          <w:rFonts w:ascii="Aptos" w:hAnsi="Aptos" w:cs="Calibri Light"/>
          <w:i/>
          <w:iCs/>
        </w:rPr>
        <w:t>Initial Measurement</w:t>
      </w:r>
    </w:p>
    <w:p w14:paraId="5965F56C" w14:textId="27AE77D6" w:rsidR="00081D43" w:rsidRPr="002A718C" w:rsidRDefault="00611539" w:rsidP="009B4BAE">
      <w:pPr>
        <w:pStyle w:val="PABullet1"/>
        <w:numPr>
          <w:ilvl w:val="0"/>
          <w:numId w:val="9"/>
        </w:numPr>
        <w:spacing w:before="240" w:after="240"/>
        <w:ind w:left="720"/>
        <w:rPr>
          <w:rFonts w:ascii="Aptos" w:hAnsi="Aptos" w:cs="Calibri Light"/>
        </w:rPr>
      </w:pPr>
      <w:hyperlink r:id="rId26" w:history="1">
        <w:r>
          <w:rPr>
            <w:rStyle w:val="Hyperlink"/>
            <w:rFonts w:ascii="Aptos" w:hAnsi="Aptos" w:cs="Calibri Light"/>
          </w:rPr>
          <w:t>326-20-50</w:t>
        </w:r>
      </w:hyperlink>
      <w:r>
        <w:rPr>
          <w:rFonts w:ascii="Aptos" w:hAnsi="Aptos" w:cs="Calibri Light"/>
        </w:rPr>
        <w:t>,</w:t>
      </w:r>
      <w:r w:rsidR="00081D43" w:rsidRPr="00057262">
        <w:rPr>
          <w:rFonts w:ascii="Aptos" w:hAnsi="Aptos" w:cs="Calibri Light"/>
        </w:rPr>
        <w:t xml:space="preserve"> </w:t>
      </w:r>
      <w:r w:rsidR="00081D43" w:rsidRPr="00057262">
        <w:rPr>
          <w:rFonts w:ascii="Aptos" w:hAnsi="Aptos" w:cs="Calibri Light"/>
          <w:i/>
          <w:iCs/>
        </w:rPr>
        <w:t xml:space="preserve">Financial Instruments </w:t>
      </w:r>
      <w:r w:rsidR="00057262">
        <w:rPr>
          <w:rFonts w:ascii="Aptos" w:hAnsi="Aptos" w:cs="Calibri Light"/>
          <w:i/>
          <w:iCs/>
        </w:rPr>
        <w:t>—</w:t>
      </w:r>
      <w:r w:rsidR="00081D43" w:rsidRPr="00057262">
        <w:rPr>
          <w:rFonts w:ascii="Aptos" w:hAnsi="Aptos" w:cs="Calibri Light"/>
          <w:i/>
          <w:iCs/>
        </w:rPr>
        <w:t xml:space="preserve"> Credit Losses </w:t>
      </w:r>
      <w:r w:rsidR="00057262">
        <w:rPr>
          <w:rFonts w:ascii="Aptos" w:hAnsi="Aptos" w:cs="Calibri Light"/>
          <w:i/>
          <w:iCs/>
        </w:rPr>
        <w:t>—</w:t>
      </w:r>
      <w:r w:rsidR="00081D43" w:rsidRPr="00057262">
        <w:rPr>
          <w:rFonts w:ascii="Aptos" w:hAnsi="Aptos" w:cs="Calibri Light"/>
          <w:i/>
          <w:iCs/>
        </w:rPr>
        <w:t xml:space="preserve"> Measured at Amortized Cost </w:t>
      </w:r>
      <w:r w:rsidR="00057262">
        <w:rPr>
          <w:rFonts w:ascii="Aptos" w:hAnsi="Aptos" w:cs="Calibri Light"/>
          <w:i/>
          <w:iCs/>
        </w:rPr>
        <w:t>—</w:t>
      </w:r>
      <w:r w:rsidR="00081D43" w:rsidRPr="00057262">
        <w:rPr>
          <w:rFonts w:ascii="Aptos" w:hAnsi="Aptos" w:cs="Calibri Light"/>
          <w:i/>
          <w:iCs/>
        </w:rPr>
        <w:t xml:space="preserve"> Disclosure</w:t>
      </w:r>
    </w:p>
    <w:p w14:paraId="446151EC" w14:textId="12D2F72C" w:rsidR="00B0107E" w:rsidRPr="00DA3367" w:rsidRDefault="00B0107E" w:rsidP="00DA3367">
      <w:pPr>
        <w:pStyle w:val="ListParagraph"/>
        <w:numPr>
          <w:ilvl w:val="0"/>
          <w:numId w:val="26"/>
        </w:numPr>
        <w:ind w:left="360"/>
        <w:rPr>
          <w:rFonts w:ascii="Aptos" w:hAnsi="Aptos"/>
          <w:b/>
          <w:bCs/>
          <w:color w:val="000000" w:themeColor="text1"/>
          <w:u w:val="single"/>
        </w:rPr>
      </w:pPr>
      <w:hyperlink r:id="rId27" w:history="1">
        <w:r w:rsidRPr="00DA3367">
          <w:rPr>
            <w:rStyle w:val="Hyperlink"/>
            <w:rFonts w:ascii="Aptos" w:eastAsia="Verdana" w:hAnsi="Aptos" w:cs="Calibri Light"/>
            <w:b/>
            <w:bCs/>
          </w:rPr>
          <w:t xml:space="preserve">2025-06 </w:t>
        </w:r>
        <w:r w:rsidR="00611539" w:rsidRPr="00DA3367">
          <w:rPr>
            <w:rFonts w:ascii="Aptos" w:hAnsi="Aptos"/>
            <w:i/>
            <w:iCs/>
            <w:color w:val="62B5E5"/>
            <w:u w:val="single"/>
          </w:rPr>
          <w:t>—</w:t>
        </w:r>
        <w:r w:rsidRPr="00DA3367">
          <w:rPr>
            <w:rStyle w:val="Hyperlink"/>
            <w:rFonts w:ascii="Aptos" w:eastAsia="Verdana" w:hAnsi="Aptos" w:cs="Calibri Light"/>
            <w:b/>
            <w:bCs/>
          </w:rPr>
          <w:t xml:space="preserve"> Intangibles </w:t>
        </w:r>
        <w:r w:rsidR="00611539" w:rsidRPr="00DA3367">
          <w:rPr>
            <w:rFonts w:ascii="Aptos" w:hAnsi="Aptos"/>
            <w:i/>
            <w:iCs/>
            <w:color w:val="62B5E5"/>
            <w:u w:val="single"/>
          </w:rPr>
          <w:t>—</w:t>
        </w:r>
        <w:r w:rsidRPr="00DA3367">
          <w:rPr>
            <w:rStyle w:val="Hyperlink"/>
            <w:rFonts w:ascii="Aptos" w:eastAsia="Verdana" w:hAnsi="Aptos" w:cs="Calibri Light"/>
            <w:b/>
            <w:bCs/>
          </w:rPr>
          <w:t xml:space="preserve"> Goodwill and Other </w:t>
        </w:r>
        <w:r w:rsidR="00611539" w:rsidRPr="00DA3367">
          <w:rPr>
            <w:rFonts w:ascii="Aptos" w:hAnsi="Aptos"/>
            <w:i/>
            <w:iCs/>
            <w:color w:val="62B5E5"/>
            <w:u w:val="single"/>
          </w:rPr>
          <w:t>—</w:t>
        </w:r>
        <w:r w:rsidRPr="00DA3367">
          <w:rPr>
            <w:rStyle w:val="Hyperlink"/>
            <w:rFonts w:ascii="Aptos" w:eastAsia="Verdana" w:hAnsi="Aptos" w:cs="Calibri Light"/>
            <w:b/>
            <w:bCs/>
          </w:rPr>
          <w:t xml:space="preserve"> Internal-Use Software (Subtopic 350-40): Targeted Improvements to the Accounting for Internal-Use Software</w:t>
        </w:r>
      </w:hyperlink>
    </w:p>
    <w:p w14:paraId="64909237" w14:textId="77777777" w:rsidR="00B0107E" w:rsidRPr="00DA3367" w:rsidRDefault="00B0107E" w:rsidP="00B0107E">
      <w:pPr>
        <w:ind w:left="360"/>
        <w:rPr>
          <w:rFonts w:ascii="Aptos" w:hAnsi="Aptos" w:cs="Calibri Light"/>
        </w:rPr>
      </w:pPr>
      <w:r w:rsidRPr="00DA3367">
        <w:rPr>
          <w:rFonts w:ascii="Aptos" w:hAnsi="Aptos" w:cs="Calibri Light"/>
        </w:rPr>
        <w:t xml:space="preserve">The following sections have not </w:t>
      </w:r>
      <w:proofErr w:type="gramStart"/>
      <w:r w:rsidRPr="00DA3367">
        <w:rPr>
          <w:rFonts w:ascii="Aptos" w:hAnsi="Aptos" w:cs="Calibri Light"/>
        </w:rPr>
        <w:t>been updated</w:t>
      </w:r>
      <w:proofErr w:type="gramEnd"/>
      <w:r w:rsidRPr="00DA3367">
        <w:rPr>
          <w:rFonts w:ascii="Aptos" w:hAnsi="Aptos" w:cs="Calibri Light"/>
        </w:rPr>
        <w:t xml:space="preserve"> in the U.S. GAAP Checklist because there are no questions related to background, scope, glossary, implementation, or SEC Materials guidance, but the sections </w:t>
      </w:r>
      <w:proofErr w:type="gramStart"/>
      <w:r w:rsidRPr="00DA3367">
        <w:rPr>
          <w:rFonts w:ascii="Aptos" w:hAnsi="Aptos" w:cs="Calibri Light"/>
        </w:rPr>
        <w:t>were amended</w:t>
      </w:r>
      <w:proofErr w:type="gramEnd"/>
      <w:r w:rsidRPr="00DA3367">
        <w:rPr>
          <w:rFonts w:ascii="Aptos" w:hAnsi="Aptos" w:cs="Calibri Light"/>
        </w:rPr>
        <w:t xml:space="preserve"> in the Codification to reflect the clarifications made in the ASU as described above:</w:t>
      </w:r>
    </w:p>
    <w:p w14:paraId="19462CC3" w14:textId="0390D003" w:rsidR="00B0107E" w:rsidRPr="00DA3367" w:rsidRDefault="00B0107E" w:rsidP="00B0107E">
      <w:pPr>
        <w:pStyle w:val="PABullet1"/>
        <w:numPr>
          <w:ilvl w:val="0"/>
          <w:numId w:val="9"/>
        </w:numPr>
        <w:spacing w:before="240" w:after="240"/>
        <w:ind w:left="720"/>
        <w:rPr>
          <w:rFonts w:ascii="Aptos" w:hAnsi="Aptos" w:cs="Calibri Light"/>
        </w:rPr>
      </w:pPr>
      <w:hyperlink r:id="rId28" w:history="1">
        <w:r w:rsidRPr="00DA3367">
          <w:rPr>
            <w:rStyle w:val="Hyperlink"/>
            <w:rFonts w:ascii="Aptos" w:hAnsi="Aptos" w:cs="Calibri Light"/>
          </w:rPr>
          <w:t>350-30-15</w:t>
        </w:r>
      </w:hyperlink>
      <w:r w:rsidRPr="00DA3367">
        <w:rPr>
          <w:rFonts w:ascii="Aptos" w:hAnsi="Aptos" w:cs="Calibri Light"/>
          <w:i/>
          <w:iCs/>
        </w:rPr>
        <w:t xml:space="preserve">, </w:t>
      </w:r>
      <w:r w:rsidRPr="00DA3367">
        <w:rPr>
          <w:rFonts w:ascii="Aptos" w:hAnsi="Aptos" w:cs="Calibri Light"/>
          <w:i/>
          <w:iCs/>
          <w:lang w:val="en-US"/>
        </w:rPr>
        <w:t>Intangibles</w:t>
      </w:r>
      <w:r w:rsidR="00611539">
        <w:rPr>
          <w:rFonts w:ascii="Aptos" w:hAnsi="Aptos" w:cs="Calibri Light"/>
          <w:i/>
          <w:iCs/>
          <w:lang w:val="en-US"/>
        </w:rPr>
        <w:t xml:space="preserve"> </w:t>
      </w:r>
      <w:r w:rsidRPr="00DA3367">
        <w:rPr>
          <w:rFonts w:ascii="Aptos" w:hAnsi="Aptos" w:cs="Calibri Light"/>
          <w:i/>
          <w:iCs/>
          <w:lang w:val="en-US"/>
        </w:rPr>
        <w:t>—</w:t>
      </w:r>
      <w:r w:rsidR="00611539">
        <w:rPr>
          <w:rFonts w:ascii="Aptos" w:hAnsi="Aptos" w:cs="Calibri Light"/>
          <w:i/>
          <w:iCs/>
          <w:lang w:val="en-US"/>
        </w:rPr>
        <w:t xml:space="preserve"> </w:t>
      </w:r>
      <w:r w:rsidRPr="00DA3367">
        <w:rPr>
          <w:rFonts w:ascii="Aptos" w:hAnsi="Aptos" w:cs="Calibri Light"/>
          <w:i/>
          <w:iCs/>
          <w:lang w:val="en-US"/>
        </w:rPr>
        <w:t>Goodwill and Other</w:t>
      </w:r>
      <w:r w:rsidR="00611539">
        <w:rPr>
          <w:rFonts w:ascii="Aptos" w:hAnsi="Aptos" w:cs="Calibri Light"/>
          <w:i/>
          <w:iCs/>
          <w:lang w:val="en-US"/>
        </w:rPr>
        <w:t xml:space="preserve"> </w:t>
      </w:r>
      <w:r w:rsidRPr="00DA3367">
        <w:rPr>
          <w:rFonts w:ascii="Aptos" w:hAnsi="Aptos" w:cs="Calibri Light"/>
          <w:i/>
          <w:iCs/>
          <w:lang w:val="en-US"/>
        </w:rPr>
        <w:t>—</w:t>
      </w:r>
      <w:r w:rsidR="00611539">
        <w:rPr>
          <w:rFonts w:ascii="Aptos" w:hAnsi="Aptos" w:cs="Calibri Light"/>
          <w:i/>
          <w:iCs/>
          <w:lang w:val="en-US"/>
        </w:rPr>
        <w:t xml:space="preserve"> </w:t>
      </w:r>
      <w:r w:rsidRPr="00DA3367">
        <w:rPr>
          <w:rFonts w:ascii="Aptos" w:hAnsi="Aptos" w:cs="Calibri Light"/>
          <w:i/>
          <w:iCs/>
          <w:lang w:val="en-US"/>
        </w:rPr>
        <w:t xml:space="preserve">General Intangibles Other Than Goodwill </w:t>
      </w:r>
      <w:r w:rsidR="008376CD" w:rsidRPr="00F85557">
        <w:rPr>
          <w:rFonts w:ascii="Aptos" w:hAnsi="Aptos" w:cs="Calibri Light"/>
          <w:i/>
          <w:iCs/>
          <w:lang w:val="en-US"/>
        </w:rPr>
        <w:t>—</w:t>
      </w:r>
      <w:r w:rsidRPr="00DA3367">
        <w:rPr>
          <w:rFonts w:ascii="Aptos" w:hAnsi="Aptos" w:cs="Calibri Light"/>
          <w:i/>
          <w:iCs/>
          <w:lang w:val="en-US"/>
        </w:rPr>
        <w:t xml:space="preserve"> Scope and Scope Exceptions</w:t>
      </w:r>
      <w:r w:rsidRPr="00DA3367">
        <w:rPr>
          <w:rFonts w:ascii="Aptos" w:hAnsi="Aptos" w:cs="Calibri Light"/>
          <w:i/>
          <w:iCs/>
        </w:rPr>
        <w:t xml:space="preserve"> </w:t>
      </w:r>
    </w:p>
    <w:p w14:paraId="2EB388CB" w14:textId="451CAE1E" w:rsidR="00B0107E" w:rsidRPr="00DA3367" w:rsidRDefault="00B0107E" w:rsidP="00B0107E">
      <w:pPr>
        <w:pStyle w:val="PABullet1"/>
        <w:numPr>
          <w:ilvl w:val="0"/>
          <w:numId w:val="9"/>
        </w:numPr>
        <w:spacing w:before="240" w:after="240"/>
        <w:ind w:left="720"/>
        <w:rPr>
          <w:rFonts w:ascii="Aptos" w:hAnsi="Aptos" w:cs="Calibri Light"/>
        </w:rPr>
      </w:pPr>
      <w:hyperlink r:id="rId29" w:history="1">
        <w:r w:rsidRPr="00DA3367">
          <w:rPr>
            <w:rStyle w:val="Hyperlink"/>
            <w:rFonts w:ascii="Aptos" w:hAnsi="Aptos" w:cs="Calibri Light"/>
          </w:rPr>
          <w:t>350-40-05</w:t>
        </w:r>
      </w:hyperlink>
      <w:r w:rsidRPr="00DA3367">
        <w:rPr>
          <w:rFonts w:ascii="Aptos" w:hAnsi="Aptos" w:cs="Calibri Light"/>
          <w:i/>
          <w:iCs/>
        </w:rPr>
        <w:t xml:space="preserve">, </w:t>
      </w:r>
      <w:r w:rsidRPr="00DA3367">
        <w:rPr>
          <w:rFonts w:ascii="Aptos" w:hAnsi="Aptos" w:cs="Calibri Light"/>
          <w:i/>
          <w:iCs/>
          <w:lang w:val="en-US"/>
        </w:rPr>
        <w:t>Intangibles—</w:t>
      </w:r>
      <w:r w:rsidR="00423AD5">
        <w:rPr>
          <w:rFonts w:ascii="Aptos" w:hAnsi="Aptos" w:cs="Calibri Light"/>
          <w:i/>
          <w:iCs/>
          <w:lang w:val="en-US"/>
        </w:rPr>
        <w:t xml:space="preserve"> </w:t>
      </w:r>
      <w:r w:rsidRPr="00DA3367">
        <w:rPr>
          <w:rFonts w:ascii="Aptos" w:hAnsi="Aptos" w:cs="Calibri Light"/>
          <w:i/>
          <w:iCs/>
          <w:lang w:val="en-US"/>
        </w:rPr>
        <w:t>Goodwill and Other</w:t>
      </w:r>
      <w:r w:rsidR="00423AD5">
        <w:rPr>
          <w:rFonts w:ascii="Aptos" w:hAnsi="Aptos" w:cs="Calibri Light"/>
          <w:i/>
          <w:iCs/>
          <w:lang w:val="en-US"/>
        </w:rPr>
        <w:t xml:space="preserve"> </w:t>
      </w:r>
      <w:r w:rsidRPr="00DA3367">
        <w:rPr>
          <w:rFonts w:ascii="Aptos" w:hAnsi="Aptos" w:cs="Calibri Light"/>
          <w:i/>
          <w:iCs/>
          <w:lang w:val="en-US"/>
        </w:rPr>
        <w:t>—</w:t>
      </w:r>
      <w:r w:rsidR="00423AD5">
        <w:rPr>
          <w:rFonts w:ascii="Aptos" w:hAnsi="Aptos" w:cs="Calibri Light"/>
          <w:i/>
          <w:iCs/>
          <w:lang w:val="en-US"/>
        </w:rPr>
        <w:t xml:space="preserve"> </w:t>
      </w:r>
      <w:r w:rsidRPr="00DA3367">
        <w:rPr>
          <w:rFonts w:ascii="Aptos" w:hAnsi="Aptos" w:cs="Calibri Light"/>
          <w:i/>
          <w:iCs/>
          <w:lang w:val="en-US"/>
        </w:rPr>
        <w:t xml:space="preserve">Internal-Use Software </w:t>
      </w:r>
      <w:r w:rsidR="008376CD" w:rsidRPr="00F85557">
        <w:rPr>
          <w:rFonts w:ascii="Aptos" w:hAnsi="Aptos" w:cs="Calibri Light"/>
          <w:i/>
          <w:iCs/>
          <w:lang w:val="en-US"/>
        </w:rPr>
        <w:t>—</w:t>
      </w:r>
      <w:r w:rsidRPr="00DA3367">
        <w:rPr>
          <w:rFonts w:ascii="Aptos" w:hAnsi="Aptos" w:cs="Calibri Light"/>
          <w:i/>
          <w:iCs/>
          <w:lang w:val="en-US"/>
        </w:rPr>
        <w:t xml:space="preserve"> Overview and Background</w:t>
      </w:r>
    </w:p>
    <w:p w14:paraId="3893B24E" w14:textId="433730B8" w:rsidR="00B0107E" w:rsidRPr="00DA3367" w:rsidRDefault="00B0107E" w:rsidP="00B0107E">
      <w:pPr>
        <w:pStyle w:val="PABullet1"/>
        <w:numPr>
          <w:ilvl w:val="0"/>
          <w:numId w:val="9"/>
        </w:numPr>
        <w:spacing w:before="240" w:after="240"/>
        <w:ind w:left="720"/>
        <w:rPr>
          <w:rFonts w:ascii="Aptos" w:hAnsi="Aptos" w:cs="Calibri Light"/>
        </w:rPr>
      </w:pPr>
      <w:hyperlink r:id="rId30" w:history="1">
        <w:r w:rsidRPr="00DA3367">
          <w:rPr>
            <w:rStyle w:val="Hyperlink"/>
            <w:rFonts w:ascii="Aptos" w:hAnsi="Aptos" w:cs="Calibri Light"/>
          </w:rPr>
          <w:t>350-40-15</w:t>
        </w:r>
      </w:hyperlink>
      <w:r w:rsidRPr="00DA3367">
        <w:rPr>
          <w:rFonts w:ascii="Aptos" w:hAnsi="Aptos" w:cs="Calibri Light"/>
          <w:i/>
          <w:iCs/>
        </w:rPr>
        <w:t xml:space="preserve">, </w:t>
      </w:r>
      <w:r w:rsidRPr="00DA3367">
        <w:rPr>
          <w:rFonts w:ascii="Aptos" w:hAnsi="Aptos" w:cs="Calibri Light"/>
          <w:i/>
          <w:iCs/>
          <w:lang w:val="en-US"/>
        </w:rPr>
        <w:t>Intangibles</w:t>
      </w:r>
      <w:r w:rsidR="00423AD5">
        <w:rPr>
          <w:rFonts w:ascii="Aptos" w:hAnsi="Aptos" w:cs="Calibri Light"/>
          <w:i/>
          <w:iCs/>
          <w:lang w:val="en-US"/>
        </w:rPr>
        <w:t xml:space="preserve"> </w:t>
      </w:r>
      <w:r w:rsidRPr="00DA3367">
        <w:rPr>
          <w:rFonts w:ascii="Aptos" w:hAnsi="Aptos" w:cs="Calibri Light"/>
          <w:i/>
          <w:iCs/>
          <w:lang w:val="en-US"/>
        </w:rPr>
        <w:t>—</w:t>
      </w:r>
      <w:r w:rsidR="00423AD5">
        <w:rPr>
          <w:rFonts w:ascii="Aptos" w:hAnsi="Aptos" w:cs="Calibri Light"/>
          <w:i/>
          <w:iCs/>
          <w:lang w:val="en-US"/>
        </w:rPr>
        <w:t xml:space="preserve"> </w:t>
      </w:r>
      <w:r w:rsidRPr="00DA3367">
        <w:rPr>
          <w:rFonts w:ascii="Aptos" w:hAnsi="Aptos" w:cs="Calibri Light"/>
          <w:i/>
          <w:iCs/>
          <w:lang w:val="en-US"/>
        </w:rPr>
        <w:t>Goodwill and Other</w:t>
      </w:r>
      <w:r w:rsidR="00423AD5">
        <w:rPr>
          <w:rFonts w:ascii="Aptos" w:hAnsi="Aptos" w:cs="Calibri Light"/>
          <w:i/>
          <w:iCs/>
          <w:lang w:val="en-US"/>
        </w:rPr>
        <w:t xml:space="preserve"> </w:t>
      </w:r>
      <w:r w:rsidRPr="00DA3367">
        <w:rPr>
          <w:rFonts w:ascii="Aptos" w:hAnsi="Aptos" w:cs="Calibri Light"/>
          <w:i/>
          <w:iCs/>
          <w:lang w:val="en-US"/>
        </w:rPr>
        <w:t>—</w:t>
      </w:r>
      <w:r w:rsidR="00423AD5">
        <w:rPr>
          <w:rFonts w:ascii="Aptos" w:hAnsi="Aptos" w:cs="Calibri Light"/>
          <w:i/>
          <w:iCs/>
          <w:lang w:val="en-US"/>
        </w:rPr>
        <w:t xml:space="preserve"> </w:t>
      </w:r>
      <w:r w:rsidRPr="00DA3367">
        <w:rPr>
          <w:rFonts w:ascii="Aptos" w:hAnsi="Aptos" w:cs="Calibri Light"/>
          <w:i/>
          <w:iCs/>
          <w:lang w:val="en-US"/>
        </w:rPr>
        <w:t xml:space="preserve">Internal-Use Software </w:t>
      </w:r>
      <w:r w:rsidR="008376CD" w:rsidRPr="00F85557">
        <w:rPr>
          <w:rFonts w:ascii="Aptos" w:hAnsi="Aptos" w:cs="Calibri Light"/>
          <w:i/>
          <w:iCs/>
          <w:lang w:val="en-US"/>
        </w:rPr>
        <w:t>—</w:t>
      </w:r>
      <w:r w:rsidRPr="00DA3367">
        <w:rPr>
          <w:rFonts w:ascii="Aptos" w:hAnsi="Aptos" w:cs="Calibri Light"/>
          <w:i/>
          <w:iCs/>
          <w:lang w:val="en-US"/>
        </w:rPr>
        <w:t xml:space="preserve"> Scope and Scope Exceptions</w:t>
      </w:r>
    </w:p>
    <w:bookmarkStart w:id="5" w:name="_Hlk210224680"/>
    <w:p w14:paraId="39F363AF" w14:textId="77777777" w:rsidR="00827CC7" w:rsidRPr="00DA3367" w:rsidRDefault="00827CC7" w:rsidP="00827CC7">
      <w:pPr>
        <w:pStyle w:val="PABullet1"/>
        <w:numPr>
          <w:ilvl w:val="0"/>
          <w:numId w:val="9"/>
        </w:numPr>
        <w:spacing w:before="240" w:after="240"/>
        <w:ind w:left="720"/>
        <w:rPr>
          <w:rFonts w:ascii="Aptos" w:hAnsi="Aptos" w:cs="Calibri Light"/>
        </w:rPr>
      </w:pPr>
      <w:r>
        <w:fldChar w:fldCharType="begin"/>
      </w:r>
      <w:r>
        <w:instrText>HYPERLINK "https://dart.deloitte.com/USDART/home/codification/assets/asc350-40-20"</w:instrText>
      </w:r>
      <w:r>
        <w:fldChar w:fldCharType="separate"/>
      </w:r>
      <w:r w:rsidRPr="00DA3367">
        <w:rPr>
          <w:rStyle w:val="Hyperlink"/>
          <w:rFonts w:ascii="Aptos" w:hAnsi="Aptos" w:cs="Calibri Light"/>
        </w:rPr>
        <w:t>350-40-20</w:t>
      </w:r>
      <w:r>
        <w:fldChar w:fldCharType="end"/>
      </w:r>
      <w:bookmarkEnd w:id="5"/>
      <w:r w:rsidRPr="00DA3367">
        <w:rPr>
          <w:rFonts w:ascii="Aptos" w:hAnsi="Aptos" w:cs="Calibri Light"/>
          <w:i/>
          <w:iCs/>
        </w:rPr>
        <w:t xml:space="preserve">, </w:t>
      </w:r>
      <w:r w:rsidRPr="00DA3367">
        <w:rPr>
          <w:rFonts w:ascii="Aptos" w:hAnsi="Aptos" w:cs="Calibri Light"/>
          <w:i/>
          <w:iCs/>
          <w:lang w:val="en-US"/>
        </w:rPr>
        <w:t>Intangibles</w:t>
      </w:r>
      <w:r>
        <w:rPr>
          <w:rFonts w:ascii="Aptos" w:hAnsi="Aptos" w:cs="Calibri Light"/>
          <w:i/>
          <w:iCs/>
          <w:lang w:val="en-US"/>
        </w:rPr>
        <w:t xml:space="preserve"> </w:t>
      </w:r>
      <w:r w:rsidRPr="00DA3367">
        <w:rPr>
          <w:rFonts w:ascii="Aptos" w:hAnsi="Aptos" w:cs="Calibri Light"/>
          <w:i/>
          <w:iCs/>
          <w:lang w:val="en-US"/>
        </w:rPr>
        <w:t>—</w:t>
      </w:r>
      <w:r>
        <w:rPr>
          <w:rFonts w:ascii="Aptos" w:hAnsi="Aptos" w:cs="Calibri Light"/>
          <w:i/>
          <w:iCs/>
          <w:lang w:val="en-US"/>
        </w:rPr>
        <w:t xml:space="preserve"> </w:t>
      </w:r>
      <w:r w:rsidRPr="00DA3367">
        <w:rPr>
          <w:rFonts w:ascii="Aptos" w:hAnsi="Aptos" w:cs="Calibri Light"/>
          <w:i/>
          <w:iCs/>
          <w:lang w:val="en-US"/>
        </w:rPr>
        <w:t>Goodwill and Other</w:t>
      </w:r>
      <w:r>
        <w:rPr>
          <w:rFonts w:ascii="Aptos" w:hAnsi="Aptos" w:cs="Calibri Light"/>
          <w:i/>
          <w:iCs/>
          <w:lang w:val="en-US"/>
        </w:rPr>
        <w:t xml:space="preserve"> </w:t>
      </w:r>
      <w:r w:rsidRPr="00DA3367">
        <w:rPr>
          <w:rFonts w:ascii="Aptos" w:hAnsi="Aptos" w:cs="Calibri Light"/>
          <w:i/>
          <w:iCs/>
          <w:lang w:val="en-US"/>
        </w:rPr>
        <w:t>—</w:t>
      </w:r>
      <w:r>
        <w:rPr>
          <w:rFonts w:ascii="Aptos" w:hAnsi="Aptos" w:cs="Calibri Light"/>
          <w:i/>
          <w:iCs/>
          <w:lang w:val="en-US"/>
        </w:rPr>
        <w:t xml:space="preserve"> </w:t>
      </w:r>
      <w:r w:rsidRPr="00DA3367">
        <w:rPr>
          <w:rFonts w:ascii="Aptos" w:hAnsi="Aptos" w:cs="Calibri Light"/>
          <w:i/>
          <w:iCs/>
          <w:lang w:val="en-US"/>
        </w:rPr>
        <w:t xml:space="preserve">Internal-Use Software </w:t>
      </w:r>
      <w:r w:rsidRPr="00F85557">
        <w:rPr>
          <w:rFonts w:ascii="Aptos" w:hAnsi="Aptos" w:cs="Calibri Light"/>
          <w:i/>
          <w:iCs/>
          <w:lang w:val="en-US"/>
        </w:rPr>
        <w:t>—</w:t>
      </w:r>
      <w:r w:rsidRPr="00DA3367">
        <w:rPr>
          <w:rFonts w:ascii="Aptos" w:hAnsi="Aptos" w:cs="Calibri Light"/>
          <w:i/>
          <w:iCs/>
          <w:lang w:val="en-US"/>
        </w:rPr>
        <w:t xml:space="preserve"> Glossary</w:t>
      </w:r>
    </w:p>
    <w:p w14:paraId="152C3D05" w14:textId="67DD937D" w:rsidR="00B0107E" w:rsidRPr="00DA3367" w:rsidRDefault="00B0107E" w:rsidP="00B0107E">
      <w:pPr>
        <w:pStyle w:val="PABullet1"/>
        <w:numPr>
          <w:ilvl w:val="0"/>
          <w:numId w:val="9"/>
        </w:numPr>
        <w:spacing w:before="240" w:after="240"/>
        <w:ind w:left="720"/>
        <w:rPr>
          <w:rFonts w:ascii="Aptos" w:hAnsi="Aptos" w:cs="Calibri Light"/>
        </w:rPr>
      </w:pPr>
      <w:hyperlink r:id="rId31" w:history="1">
        <w:r w:rsidRPr="00DA3367">
          <w:rPr>
            <w:rStyle w:val="Hyperlink"/>
            <w:rFonts w:ascii="Aptos" w:hAnsi="Aptos" w:cs="Calibri Light"/>
            <w:lang w:val="en-US"/>
          </w:rPr>
          <w:t>350-40-55</w:t>
        </w:r>
      </w:hyperlink>
      <w:r w:rsidRPr="00DA3367">
        <w:rPr>
          <w:rFonts w:ascii="Aptos" w:hAnsi="Aptos" w:cs="Calibri Light"/>
          <w:i/>
          <w:iCs/>
          <w:lang w:val="en-US"/>
        </w:rPr>
        <w:t>, Intangibles</w:t>
      </w:r>
      <w:r w:rsidR="00423AD5">
        <w:rPr>
          <w:rFonts w:ascii="Aptos" w:hAnsi="Aptos" w:cs="Calibri Light"/>
          <w:i/>
          <w:iCs/>
          <w:lang w:val="en-US"/>
        </w:rPr>
        <w:t xml:space="preserve"> </w:t>
      </w:r>
      <w:r w:rsidRPr="00DA3367">
        <w:rPr>
          <w:rFonts w:ascii="Aptos" w:hAnsi="Aptos" w:cs="Calibri Light"/>
          <w:i/>
          <w:iCs/>
          <w:lang w:val="en-US"/>
        </w:rPr>
        <w:t>—</w:t>
      </w:r>
      <w:r w:rsidR="00423AD5">
        <w:rPr>
          <w:rFonts w:ascii="Aptos" w:hAnsi="Aptos" w:cs="Calibri Light"/>
          <w:i/>
          <w:iCs/>
          <w:lang w:val="en-US"/>
        </w:rPr>
        <w:t xml:space="preserve"> </w:t>
      </w:r>
      <w:r w:rsidRPr="00DA3367">
        <w:rPr>
          <w:rFonts w:ascii="Aptos" w:hAnsi="Aptos" w:cs="Calibri Light"/>
          <w:i/>
          <w:iCs/>
          <w:lang w:val="en-US"/>
        </w:rPr>
        <w:t>Goodwill and Other</w:t>
      </w:r>
      <w:r w:rsidR="00423AD5">
        <w:rPr>
          <w:rFonts w:ascii="Aptos" w:hAnsi="Aptos" w:cs="Calibri Light"/>
          <w:i/>
          <w:iCs/>
          <w:lang w:val="en-US"/>
        </w:rPr>
        <w:t xml:space="preserve"> </w:t>
      </w:r>
      <w:r w:rsidRPr="00DA3367">
        <w:rPr>
          <w:rFonts w:ascii="Aptos" w:hAnsi="Aptos" w:cs="Calibri Light"/>
          <w:i/>
          <w:iCs/>
          <w:lang w:val="en-US"/>
        </w:rPr>
        <w:t>—</w:t>
      </w:r>
      <w:r w:rsidR="00423AD5">
        <w:rPr>
          <w:rFonts w:ascii="Aptos" w:hAnsi="Aptos" w:cs="Calibri Light"/>
          <w:i/>
          <w:iCs/>
          <w:lang w:val="en-US"/>
        </w:rPr>
        <w:t xml:space="preserve"> </w:t>
      </w:r>
      <w:r w:rsidRPr="00DA3367">
        <w:rPr>
          <w:rFonts w:ascii="Aptos" w:hAnsi="Aptos" w:cs="Calibri Light"/>
          <w:i/>
          <w:iCs/>
          <w:lang w:val="en-US"/>
        </w:rPr>
        <w:t xml:space="preserve">Internal-Use Software </w:t>
      </w:r>
      <w:r w:rsidR="008376CD" w:rsidRPr="00F85557">
        <w:rPr>
          <w:rFonts w:ascii="Aptos" w:hAnsi="Aptos" w:cs="Calibri Light"/>
          <w:i/>
          <w:iCs/>
          <w:lang w:val="en-US"/>
        </w:rPr>
        <w:t>—</w:t>
      </w:r>
      <w:r w:rsidRPr="00DA3367">
        <w:rPr>
          <w:rFonts w:ascii="Aptos" w:hAnsi="Aptos" w:cs="Calibri Light"/>
          <w:i/>
          <w:iCs/>
          <w:lang w:val="en-US"/>
        </w:rPr>
        <w:t xml:space="preserve"> Implementation Guidance and Illustrations</w:t>
      </w:r>
    </w:p>
    <w:p w14:paraId="5D2DA4C2" w14:textId="414446F0" w:rsidR="00B0107E" w:rsidRPr="00DA3367" w:rsidRDefault="00B0107E" w:rsidP="00B0107E">
      <w:pPr>
        <w:pStyle w:val="PABullet1"/>
        <w:numPr>
          <w:ilvl w:val="0"/>
          <w:numId w:val="9"/>
        </w:numPr>
        <w:spacing w:before="240" w:after="240"/>
        <w:ind w:left="720"/>
        <w:rPr>
          <w:rFonts w:ascii="Aptos" w:hAnsi="Aptos" w:cs="Calibri Light"/>
          <w:i/>
          <w:iCs/>
        </w:rPr>
      </w:pPr>
      <w:hyperlink r:id="rId32" w:history="1">
        <w:r w:rsidRPr="00DA3367">
          <w:rPr>
            <w:rStyle w:val="Hyperlink"/>
            <w:rFonts w:ascii="Aptos" w:hAnsi="Aptos" w:cs="Calibri Light"/>
          </w:rPr>
          <w:t>350-40-65</w:t>
        </w:r>
      </w:hyperlink>
      <w:r w:rsidRPr="00DA3367">
        <w:rPr>
          <w:rFonts w:ascii="Aptos" w:hAnsi="Aptos" w:cs="Calibri Light"/>
          <w:i/>
          <w:iCs/>
        </w:rPr>
        <w:t xml:space="preserve">, </w:t>
      </w:r>
      <w:r w:rsidRPr="00DA3367">
        <w:rPr>
          <w:rFonts w:ascii="Aptos" w:hAnsi="Aptos" w:cs="Calibri Light"/>
          <w:i/>
          <w:iCs/>
          <w:lang w:val="en-US"/>
        </w:rPr>
        <w:t>Intangibles</w:t>
      </w:r>
      <w:r w:rsidR="00423AD5">
        <w:rPr>
          <w:rFonts w:ascii="Aptos" w:hAnsi="Aptos" w:cs="Calibri Light"/>
          <w:i/>
          <w:iCs/>
          <w:lang w:val="en-US"/>
        </w:rPr>
        <w:t xml:space="preserve"> </w:t>
      </w:r>
      <w:r w:rsidRPr="00DA3367">
        <w:rPr>
          <w:rFonts w:ascii="Aptos" w:hAnsi="Aptos" w:cs="Calibri Light"/>
          <w:i/>
          <w:iCs/>
          <w:lang w:val="en-US"/>
        </w:rPr>
        <w:t>—</w:t>
      </w:r>
      <w:r w:rsidR="00423AD5">
        <w:rPr>
          <w:rFonts w:ascii="Aptos" w:hAnsi="Aptos" w:cs="Calibri Light"/>
          <w:i/>
          <w:iCs/>
          <w:lang w:val="en-US"/>
        </w:rPr>
        <w:t xml:space="preserve"> </w:t>
      </w:r>
      <w:r w:rsidRPr="00DA3367">
        <w:rPr>
          <w:rFonts w:ascii="Aptos" w:hAnsi="Aptos" w:cs="Calibri Light"/>
          <w:i/>
          <w:iCs/>
          <w:lang w:val="en-US"/>
        </w:rPr>
        <w:t>Goodwill and Other</w:t>
      </w:r>
      <w:r w:rsidR="00423AD5">
        <w:rPr>
          <w:rFonts w:ascii="Aptos" w:hAnsi="Aptos" w:cs="Calibri Light"/>
          <w:i/>
          <w:iCs/>
          <w:lang w:val="en-US"/>
        </w:rPr>
        <w:t xml:space="preserve"> </w:t>
      </w:r>
      <w:r w:rsidRPr="00DA3367">
        <w:rPr>
          <w:rFonts w:ascii="Aptos" w:hAnsi="Aptos" w:cs="Calibri Light"/>
          <w:i/>
          <w:iCs/>
          <w:lang w:val="en-US"/>
        </w:rPr>
        <w:t>—</w:t>
      </w:r>
      <w:r w:rsidR="00423AD5">
        <w:rPr>
          <w:rFonts w:ascii="Aptos" w:hAnsi="Aptos" w:cs="Calibri Light"/>
          <w:i/>
          <w:iCs/>
          <w:lang w:val="en-US"/>
        </w:rPr>
        <w:t xml:space="preserve"> </w:t>
      </w:r>
      <w:r w:rsidRPr="00DA3367">
        <w:rPr>
          <w:rFonts w:ascii="Aptos" w:hAnsi="Aptos" w:cs="Calibri Light"/>
          <w:i/>
          <w:iCs/>
          <w:lang w:val="en-US"/>
        </w:rPr>
        <w:t xml:space="preserve">Internal-Use Software </w:t>
      </w:r>
      <w:r w:rsidR="008376CD" w:rsidRPr="00F85557">
        <w:rPr>
          <w:rFonts w:ascii="Aptos" w:hAnsi="Aptos" w:cs="Calibri Light"/>
          <w:i/>
          <w:iCs/>
          <w:lang w:val="en-US"/>
        </w:rPr>
        <w:t>—</w:t>
      </w:r>
      <w:r w:rsidRPr="00DA3367">
        <w:rPr>
          <w:rFonts w:ascii="Aptos" w:hAnsi="Aptos" w:cs="Calibri Light"/>
          <w:i/>
          <w:iCs/>
          <w:lang w:val="en-US"/>
        </w:rPr>
        <w:t xml:space="preserve"> Transition and Open Effective Date Information</w:t>
      </w:r>
    </w:p>
    <w:p w14:paraId="3B168C4E" w14:textId="5C25AE9E" w:rsidR="00B0107E" w:rsidRPr="00DA3367" w:rsidRDefault="00B0107E" w:rsidP="00B0107E">
      <w:pPr>
        <w:pStyle w:val="PABullet1"/>
        <w:numPr>
          <w:ilvl w:val="0"/>
          <w:numId w:val="9"/>
        </w:numPr>
        <w:spacing w:before="240" w:after="240"/>
        <w:ind w:left="720"/>
        <w:rPr>
          <w:rFonts w:ascii="Aptos" w:hAnsi="Aptos" w:cs="Calibri Light"/>
        </w:rPr>
      </w:pPr>
      <w:hyperlink r:id="rId33" w:history="1">
        <w:r w:rsidRPr="00DA3367">
          <w:rPr>
            <w:rStyle w:val="Hyperlink"/>
            <w:rFonts w:ascii="Aptos" w:hAnsi="Aptos" w:cs="Calibri Light"/>
            <w:lang w:val="en-US"/>
          </w:rPr>
          <w:t>350-50-05</w:t>
        </w:r>
      </w:hyperlink>
      <w:r w:rsidRPr="00DA3367">
        <w:rPr>
          <w:rFonts w:ascii="Aptos" w:hAnsi="Aptos" w:cs="Calibri Light"/>
          <w:i/>
          <w:iCs/>
          <w:lang w:val="en-US"/>
        </w:rPr>
        <w:t>, Intangibles</w:t>
      </w:r>
      <w:r w:rsidR="00423AD5">
        <w:rPr>
          <w:rFonts w:ascii="Aptos" w:hAnsi="Aptos" w:cs="Calibri Light"/>
          <w:i/>
          <w:iCs/>
          <w:lang w:val="en-US"/>
        </w:rPr>
        <w:t xml:space="preserve"> </w:t>
      </w:r>
      <w:r w:rsidRPr="00DA3367">
        <w:rPr>
          <w:rFonts w:ascii="Aptos" w:hAnsi="Aptos" w:cs="Calibri Light"/>
          <w:i/>
          <w:iCs/>
          <w:lang w:val="en-US"/>
        </w:rPr>
        <w:t>—</w:t>
      </w:r>
      <w:r w:rsidR="00423AD5">
        <w:rPr>
          <w:rFonts w:ascii="Aptos" w:hAnsi="Aptos" w:cs="Calibri Light"/>
          <w:i/>
          <w:iCs/>
          <w:lang w:val="en-US"/>
        </w:rPr>
        <w:t xml:space="preserve"> </w:t>
      </w:r>
      <w:r w:rsidRPr="00DA3367">
        <w:rPr>
          <w:rFonts w:ascii="Aptos" w:hAnsi="Aptos" w:cs="Calibri Light"/>
          <w:i/>
          <w:iCs/>
          <w:lang w:val="en-US"/>
        </w:rPr>
        <w:t>Goodwill and Other</w:t>
      </w:r>
      <w:r w:rsidR="00423AD5">
        <w:rPr>
          <w:rFonts w:ascii="Aptos" w:hAnsi="Aptos" w:cs="Calibri Light"/>
          <w:i/>
          <w:iCs/>
          <w:lang w:val="en-US"/>
        </w:rPr>
        <w:t xml:space="preserve"> </w:t>
      </w:r>
      <w:r w:rsidRPr="00DA3367">
        <w:rPr>
          <w:rFonts w:ascii="Aptos" w:hAnsi="Aptos" w:cs="Calibri Light"/>
          <w:i/>
          <w:iCs/>
          <w:lang w:val="en-US"/>
        </w:rPr>
        <w:t>—</w:t>
      </w:r>
      <w:r w:rsidR="00423AD5">
        <w:rPr>
          <w:rFonts w:ascii="Aptos" w:hAnsi="Aptos" w:cs="Calibri Light"/>
          <w:i/>
          <w:iCs/>
          <w:lang w:val="en-US"/>
        </w:rPr>
        <w:t xml:space="preserve"> </w:t>
      </w:r>
      <w:r w:rsidR="004125AB">
        <w:rPr>
          <w:rFonts w:ascii="Aptos" w:hAnsi="Aptos" w:cs="Calibri Light"/>
          <w:i/>
          <w:iCs/>
          <w:lang w:val="en-US"/>
        </w:rPr>
        <w:t>Website Development Costs</w:t>
      </w:r>
      <w:r w:rsidRPr="00DA3367">
        <w:rPr>
          <w:rFonts w:ascii="Aptos" w:hAnsi="Aptos" w:cs="Calibri Light"/>
          <w:i/>
          <w:iCs/>
          <w:lang w:val="en-US"/>
        </w:rPr>
        <w:t xml:space="preserve"> </w:t>
      </w:r>
      <w:r w:rsidR="008376CD" w:rsidRPr="00F85557">
        <w:rPr>
          <w:rFonts w:ascii="Aptos" w:hAnsi="Aptos" w:cs="Calibri Light"/>
          <w:i/>
          <w:iCs/>
          <w:lang w:val="en-US"/>
        </w:rPr>
        <w:t>—</w:t>
      </w:r>
      <w:r w:rsidRPr="00DA3367">
        <w:rPr>
          <w:rFonts w:ascii="Aptos" w:hAnsi="Aptos" w:cs="Calibri Light"/>
          <w:i/>
          <w:iCs/>
          <w:lang w:val="en-US"/>
        </w:rPr>
        <w:t xml:space="preserve"> Overview and Background</w:t>
      </w:r>
    </w:p>
    <w:p w14:paraId="6B116067" w14:textId="26D82E90" w:rsidR="00B0107E" w:rsidRPr="00DA3367" w:rsidRDefault="00B0107E" w:rsidP="00B0107E">
      <w:pPr>
        <w:pStyle w:val="PABullet1"/>
        <w:numPr>
          <w:ilvl w:val="0"/>
          <w:numId w:val="9"/>
        </w:numPr>
        <w:spacing w:before="240" w:after="240"/>
        <w:ind w:left="720"/>
        <w:rPr>
          <w:rFonts w:ascii="Aptos" w:hAnsi="Aptos" w:cs="Calibri Light"/>
        </w:rPr>
      </w:pPr>
      <w:hyperlink r:id="rId34" w:history="1">
        <w:r w:rsidRPr="00DA3367">
          <w:rPr>
            <w:rStyle w:val="Hyperlink"/>
            <w:rFonts w:ascii="Aptos" w:hAnsi="Aptos" w:cs="Calibri Light"/>
            <w:lang w:val="en-US"/>
          </w:rPr>
          <w:t>350-50-15</w:t>
        </w:r>
      </w:hyperlink>
      <w:r w:rsidRPr="00DA3367">
        <w:rPr>
          <w:rFonts w:ascii="Aptos" w:hAnsi="Aptos" w:cs="Calibri Light"/>
          <w:i/>
          <w:iCs/>
          <w:lang w:val="en-US"/>
        </w:rPr>
        <w:t>, Intangibles</w:t>
      </w:r>
      <w:r w:rsidR="00423AD5">
        <w:rPr>
          <w:rFonts w:ascii="Aptos" w:hAnsi="Aptos" w:cs="Calibri Light"/>
          <w:i/>
          <w:iCs/>
          <w:lang w:val="en-US"/>
        </w:rPr>
        <w:t xml:space="preserve"> </w:t>
      </w:r>
      <w:r w:rsidRPr="00DA3367">
        <w:rPr>
          <w:rFonts w:ascii="Aptos" w:hAnsi="Aptos" w:cs="Calibri Light"/>
          <w:i/>
          <w:iCs/>
          <w:lang w:val="en-US"/>
        </w:rPr>
        <w:t>—</w:t>
      </w:r>
      <w:r w:rsidR="00423AD5">
        <w:rPr>
          <w:rFonts w:ascii="Aptos" w:hAnsi="Aptos" w:cs="Calibri Light"/>
          <w:i/>
          <w:iCs/>
          <w:lang w:val="en-US"/>
        </w:rPr>
        <w:t xml:space="preserve"> </w:t>
      </w:r>
      <w:r w:rsidRPr="00DA3367">
        <w:rPr>
          <w:rFonts w:ascii="Aptos" w:hAnsi="Aptos" w:cs="Calibri Light"/>
          <w:i/>
          <w:iCs/>
          <w:lang w:val="en-US"/>
        </w:rPr>
        <w:t>Goodwill and Other</w:t>
      </w:r>
      <w:r w:rsidR="00423AD5">
        <w:rPr>
          <w:rFonts w:ascii="Aptos" w:hAnsi="Aptos" w:cs="Calibri Light"/>
          <w:i/>
          <w:iCs/>
          <w:lang w:val="en-US"/>
        </w:rPr>
        <w:t xml:space="preserve"> </w:t>
      </w:r>
      <w:r w:rsidRPr="00DA3367">
        <w:rPr>
          <w:rFonts w:ascii="Aptos" w:hAnsi="Aptos" w:cs="Calibri Light"/>
          <w:i/>
          <w:iCs/>
          <w:lang w:val="en-US"/>
        </w:rPr>
        <w:t>—</w:t>
      </w:r>
      <w:r w:rsidR="00423AD5">
        <w:rPr>
          <w:rFonts w:ascii="Aptos" w:hAnsi="Aptos" w:cs="Calibri Light"/>
          <w:i/>
          <w:iCs/>
          <w:lang w:val="en-US"/>
        </w:rPr>
        <w:t xml:space="preserve"> </w:t>
      </w:r>
      <w:r w:rsidR="004125AB">
        <w:rPr>
          <w:rFonts w:ascii="Aptos" w:hAnsi="Aptos" w:cs="Calibri Light"/>
          <w:i/>
          <w:iCs/>
          <w:lang w:val="en-US"/>
        </w:rPr>
        <w:t xml:space="preserve">Website Development Costs </w:t>
      </w:r>
      <w:r w:rsidR="008376CD" w:rsidRPr="00F85557">
        <w:rPr>
          <w:rFonts w:ascii="Aptos" w:hAnsi="Aptos" w:cs="Calibri Light"/>
          <w:i/>
          <w:iCs/>
          <w:lang w:val="en-US"/>
        </w:rPr>
        <w:t>—</w:t>
      </w:r>
      <w:r w:rsidRPr="00DA3367">
        <w:rPr>
          <w:rFonts w:ascii="Aptos" w:hAnsi="Aptos" w:cs="Calibri Light"/>
          <w:i/>
          <w:iCs/>
          <w:lang w:val="en-US"/>
        </w:rPr>
        <w:t xml:space="preserve"> Scope and Scope Exceptions</w:t>
      </w:r>
    </w:p>
    <w:p w14:paraId="14AC47FB" w14:textId="4F702021" w:rsidR="00B0107E" w:rsidRPr="00DA3367" w:rsidRDefault="00B0107E" w:rsidP="00B0107E">
      <w:pPr>
        <w:pStyle w:val="PABullet1"/>
        <w:numPr>
          <w:ilvl w:val="0"/>
          <w:numId w:val="9"/>
        </w:numPr>
        <w:spacing w:before="240" w:after="240"/>
        <w:ind w:left="720"/>
        <w:rPr>
          <w:rFonts w:ascii="Aptos" w:hAnsi="Aptos" w:cs="Calibri Light"/>
        </w:rPr>
      </w:pPr>
      <w:hyperlink r:id="rId35" w:history="1">
        <w:r w:rsidRPr="00DA3367">
          <w:rPr>
            <w:rStyle w:val="Hyperlink"/>
            <w:rFonts w:ascii="Aptos" w:hAnsi="Aptos" w:cs="Calibri Light"/>
            <w:lang w:val="en-US"/>
          </w:rPr>
          <w:t>350-50-55</w:t>
        </w:r>
      </w:hyperlink>
      <w:r w:rsidRPr="00DA3367">
        <w:rPr>
          <w:rFonts w:ascii="Aptos" w:hAnsi="Aptos" w:cs="Calibri Light"/>
          <w:lang w:val="en-US"/>
        </w:rPr>
        <w:t>,</w:t>
      </w:r>
      <w:r w:rsidRPr="00DA3367">
        <w:rPr>
          <w:rFonts w:ascii="Aptos" w:hAnsi="Aptos" w:cs="Calibri Light"/>
          <w:i/>
          <w:iCs/>
          <w:lang w:val="en-US"/>
        </w:rPr>
        <w:t xml:space="preserve"> Intangibles—Goodwill and Other—</w:t>
      </w:r>
      <w:r w:rsidR="004125AB" w:rsidRPr="004125AB">
        <w:rPr>
          <w:rFonts w:ascii="Aptos" w:hAnsi="Aptos" w:cs="Calibri Light"/>
          <w:i/>
          <w:iCs/>
          <w:lang w:val="en-US"/>
        </w:rPr>
        <w:t xml:space="preserve"> </w:t>
      </w:r>
      <w:r w:rsidR="004125AB">
        <w:rPr>
          <w:rFonts w:ascii="Aptos" w:hAnsi="Aptos" w:cs="Calibri Light"/>
          <w:i/>
          <w:iCs/>
          <w:lang w:val="en-US"/>
        </w:rPr>
        <w:t>Website Development Costs</w:t>
      </w:r>
      <w:r w:rsidR="004125AB" w:rsidRPr="00F85557">
        <w:rPr>
          <w:rFonts w:ascii="Aptos" w:hAnsi="Aptos" w:cs="Calibri Light"/>
          <w:i/>
          <w:iCs/>
          <w:lang w:val="en-US"/>
        </w:rPr>
        <w:t xml:space="preserve"> </w:t>
      </w:r>
      <w:r w:rsidR="008376CD" w:rsidRPr="00F85557">
        <w:rPr>
          <w:rFonts w:ascii="Aptos" w:hAnsi="Aptos" w:cs="Calibri Light"/>
          <w:i/>
          <w:iCs/>
          <w:lang w:val="en-US"/>
        </w:rPr>
        <w:t>—</w:t>
      </w:r>
      <w:r w:rsidRPr="00DA3367">
        <w:rPr>
          <w:rFonts w:ascii="Aptos" w:hAnsi="Aptos" w:cs="Calibri Light"/>
          <w:i/>
          <w:iCs/>
          <w:lang w:val="en-US"/>
        </w:rPr>
        <w:t xml:space="preserve"> Implementation Guidance and Illustrations</w:t>
      </w:r>
    </w:p>
    <w:p w14:paraId="305225B3" w14:textId="59E6A1CE" w:rsidR="00B0107E" w:rsidRPr="00DA3367" w:rsidRDefault="00B0107E" w:rsidP="00B0107E">
      <w:pPr>
        <w:pStyle w:val="PABullet1"/>
        <w:numPr>
          <w:ilvl w:val="0"/>
          <w:numId w:val="9"/>
        </w:numPr>
        <w:spacing w:before="240" w:after="240"/>
        <w:ind w:left="720"/>
        <w:rPr>
          <w:rFonts w:ascii="Aptos" w:hAnsi="Aptos" w:cs="Calibri Light"/>
        </w:rPr>
      </w:pPr>
      <w:hyperlink r:id="rId36" w:history="1">
        <w:r w:rsidRPr="00DA3367">
          <w:rPr>
            <w:rStyle w:val="Hyperlink"/>
            <w:rFonts w:ascii="Aptos" w:hAnsi="Aptos" w:cs="Calibri Light"/>
            <w:lang w:val="en-US"/>
          </w:rPr>
          <w:t>720-45-55</w:t>
        </w:r>
      </w:hyperlink>
      <w:r w:rsidRPr="00DA3367">
        <w:rPr>
          <w:rFonts w:ascii="Aptos" w:hAnsi="Aptos" w:cs="Calibri Light"/>
          <w:i/>
          <w:iCs/>
          <w:lang w:val="en-US"/>
        </w:rPr>
        <w:t>, Other Expenses</w:t>
      </w:r>
      <w:r w:rsidR="00423AD5">
        <w:rPr>
          <w:rFonts w:ascii="Aptos" w:hAnsi="Aptos" w:cs="Calibri Light"/>
          <w:i/>
          <w:iCs/>
          <w:lang w:val="en-US"/>
        </w:rPr>
        <w:t xml:space="preserve"> </w:t>
      </w:r>
      <w:r w:rsidRPr="00DA3367">
        <w:rPr>
          <w:rFonts w:ascii="Aptos" w:hAnsi="Aptos" w:cs="Calibri Light"/>
          <w:i/>
          <w:iCs/>
          <w:lang w:val="en-US"/>
        </w:rPr>
        <w:t>—</w:t>
      </w:r>
      <w:r w:rsidR="00423AD5">
        <w:rPr>
          <w:rFonts w:ascii="Aptos" w:hAnsi="Aptos" w:cs="Calibri Light"/>
          <w:i/>
          <w:iCs/>
          <w:lang w:val="en-US"/>
        </w:rPr>
        <w:t xml:space="preserve"> </w:t>
      </w:r>
      <w:r w:rsidRPr="00DA3367">
        <w:rPr>
          <w:rFonts w:ascii="Aptos" w:hAnsi="Aptos" w:cs="Calibri Light"/>
          <w:i/>
          <w:iCs/>
          <w:lang w:val="en-US"/>
        </w:rPr>
        <w:t xml:space="preserve">Business and Technology Reengineering </w:t>
      </w:r>
      <w:r w:rsidR="008376CD" w:rsidRPr="00F85557">
        <w:rPr>
          <w:rFonts w:ascii="Aptos" w:hAnsi="Aptos" w:cs="Calibri Light"/>
          <w:i/>
          <w:iCs/>
          <w:lang w:val="en-US"/>
        </w:rPr>
        <w:t>—</w:t>
      </w:r>
      <w:r w:rsidRPr="00DA3367">
        <w:rPr>
          <w:rFonts w:ascii="Aptos" w:hAnsi="Aptos" w:cs="Calibri Light"/>
          <w:i/>
          <w:iCs/>
          <w:lang w:val="en-US"/>
        </w:rPr>
        <w:t xml:space="preserve"> Implementation Guidance and Illustrations</w:t>
      </w:r>
    </w:p>
    <w:p w14:paraId="5A7D22BC" w14:textId="36963B91" w:rsidR="00B0107E" w:rsidRPr="00DA3367" w:rsidRDefault="00B0107E" w:rsidP="00B0107E">
      <w:pPr>
        <w:pStyle w:val="PABullet1"/>
        <w:numPr>
          <w:ilvl w:val="0"/>
          <w:numId w:val="9"/>
        </w:numPr>
        <w:spacing w:before="240" w:after="240"/>
        <w:ind w:left="720"/>
        <w:rPr>
          <w:rFonts w:ascii="Aptos" w:hAnsi="Aptos" w:cs="Calibri Light"/>
        </w:rPr>
      </w:pPr>
      <w:hyperlink r:id="rId37" w:history="1">
        <w:r w:rsidRPr="00DA3367">
          <w:rPr>
            <w:rStyle w:val="Hyperlink"/>
            <w:rFonts w:ascii="Aptos" w:hAnsi="Aptos" w:cs="Calibri Light"/>
            <w:lang w:val="en-US"/>
          </w:rPr>
          <w:t>730-10-60</w:t>
        </w:r>
      </w:hyperlink>
      <w:r w:rsidRPr="00DA3367">
        <w:rPr>
          <w:rFonts w:ascii="Aptos" w:hAnsi="Aptos" w:cs="Calibri Light"/>
          <w:i/>
          <w:iCs/>
          <w:lang w:val="en-US"/>
        </w:rPr>
        <w:t>, Research and Development</w:t>
      </w:r>
      <w:r w:rsidR="00423AD5">
        <w:rPr>
          <w:rFonts w:ascii="Aptos" w:hAnsi="Aptos" w:cs="Calibri Light"/>
          <w:i/>
          <w:iCs/>
          <w:lang w:val="en-US"/>
        </w:rPr>
        <w:t xml:space="preserve"> </w:t>
      </w:r>
      <w:r w:rsidRPr="00DA3367">
        <w:rPr>
          <w:rFonts w:ascii="Aptos" w:hAnsi="Aptos" w:cs="Calibri Light"/>
          <w:i/>
          <w:iCs/>
          <w:lang w:val="en-US"/>
        </w:rPr>
        <w:t>—</w:t>
      </w:r>
      <w:r w:rsidR="00423AD5">
        <w:rPr>
          <w:rFonts w:ascii="Aptos" w:hAnsi="Aptos" w:cs="Calibri Light"/>
          <w:i/>
          <w:iCs/>
          <w:lang w:val="en-US"/>
        </w:rPr>
        <w:t xml:space="preserve"> </w:t>
      </w:r>
      <w:r w:rsidRPr="00DA3367">
        <w:rPr>
          <w:rFonts w:ascii="Aptos" w:hAnsi="Aptos" w:cs="Calibri Light"/>
          <w:i/>
          <w:iCs/>
          <w:lang w:val="en-US"/>
        </w:rPr>
        <w:t xml:space="preserve">Overall </w:t>
      </w:r>
      <w:r w:rsidR="008376CD" w:rsidRPr="00F85557">
        <w:rPr>
          <w:rFonts w:ascii="Aptos" w:hAnsi="Aptos" w:cs="Calibri Light"/>
          <w:i/>
          <w:iCs/>
          <w:lang w:val="en-US"/>
        </w:rPr>
        <w:t>—</w:t>
      </w:r>
      <w:r w:rsidRPr="00DA3367">
        <w:rPr>
          <w:rFonts w:ascii="Aptos" w:hAnsi="Aptos" w:cs="Calibri Light"/>
          <w:i/>
          <w:iCs/>
          <w:lang w:val="en-US"/>
        </w:rPr>
        <w:t xml:space="preserve"> Relationships</w:t>
      </w:r>
    </w:p>
    <w:p w14:paraId="0DAA76EB" w14:textId="77777777" w:rsidR="00B0107E" w:rsidRPr="00DA3367" w:rsidRDefault="00B0107E" w:rsidP="00B0107E">
      <w:pPr>
        <w:spacing w:before="240"/>
        <w:ind w:left="360"/>
        <w:rPr>
          <w:rFonts w:ascii="Aptos" w:hAnsi="Aptos" w:cs="Calibri Light"/>
        </w:rPr>
      </w:pPr>
      <w:r w:rsidRPr="00DA3367">
        <w:rPr>
          <w:rFonts w:ascii="Aptos" w:hAnsi="Aptos" w:cs="Calibri Light"/>
        </w:rPr>
        <w:t xml:space="preserve">As a result of this ASU, the following sections have </w:t>
      </w:r>
      <w:proofErr w:type="gramStart"/>
      <w:r w:rsidRPr="00DA3367">
        <w:rPr>
          <w:rFonts w:ascii="Aptos" w:hAnsi="Aptos" w:cs="Calibri Light"/>
        </w:rPr>
        <w:t>been updated</w:t>
      </w:r>
      <w:proofErr w:type="gramEnd"/>
      <w:r w:rsidRPr="00DA3367">
        <w:rPr>
          <w:rFonts w:ascii="Aptos" w:hAnsi="Aptos" w:cs="Calibri Light"/>
        </w:rPr>
        <w:t xml:space="preserve"> in the U.S. GAAP Checklist:</w:t>
      </w:r>
    </w:p>
    <w:p w14:paraId="5FA0C912" w14:textId="3C4168EA" w:rsidR="00B0107E" w:rsidRPr="00DA3367" w:rsidRDefault="00B0107E" w:rsidP="00B0107E">
      <w:pPr>
        <w:pStyle w:val="PABullet1"/>
        <w:numPr>
          <w:ilvl w:val="0"/>
          <w:numId w:val="9"/>
        </w:numPr>
        <w:spacing w:before="240" w:after="240"/>
        <w:ind w:left="720"/>
        <w:rPr>
          <w:rFonts w:ascii="Aptos" w:hAnsi="Aptos" w:cs="Calibri Light"/>
          <w:i/>
          <w:iCs/>
        </w:rPr>
      </w:pPr>
      <w:hyperlink r:id="rId38" w:history="1">
        <w:r w:rsidRPr="00DA3367">
          <w:rPr>
            <w:rStyle w:val="Hyperlink"/>
            <w:rFonts w:ascii="Aptos" w:hAnsi="Aptos" w:cs="Calibri Light"/>
          </w:rPr>
          <w:t>350-40-25</w:t>
        </w:r>
      </w:hyperlink>
      <w:r w:rsidRPr="00DA3367">
        <w:rPr>
          <w:rFonts w:ascii="Aptos" w:hAnsi="Aptos" w:cs="Calibri Light"/>
          <w:i/>
          <w:iCs/>
        </w:rPr>
        <w:t xml:space="preserve">, </w:t>
      </w:r>
      <w:r w:rsidRPr="00DA3367">
        <w:rPr>
          <w:rFonts w:ascii="Aptos" w:hAnsi="Aptos" w:cs="Calibri Light"/>
          <w:i/>
          <w:iCs/>
          <w:lang w:val="en-US"/>
        </w:rPr>
        <w:t>Intangibles</w:t>
      </w:r>
      <w:r w:rsidR="00423AD5">
        <w:rPr>
          <w:rFonts w:ascii="Aptos" w:hAnsi="Aptos" w:cs="Calibri Light"/>
          <w:i/>
          <w:iCs/>
          <w:lang w:val="en-US"/>
        </w:rPr>
        <w:t xml:space="preserve"> </w:t>
      </w:r>
      <w:r w:rsidRPr="00DA3367">
        <w:rPr>
          <w:rFonts w:ascii="Aptos" w:hAnsi="Aptos" w:cs="Calibri Light"/>
          <w:i/>
          <w:iCs/>
          <w:lang w:val="en-US"/>
        </w:rPr>
        <w:t>—</w:t>
      </w:r>
      <w:r w:rsidR="00423AD5">
        <w:rPr>
          <w:rFonts w:ascii="Aptos" w:hAnsi="Aptos" w:cs="Calibri Light"/>
          <w:i/>
          <w:iCs/>
          <w:lang w:val="en-US"/>
        </w:rPr>
        <w:t xml:space="preserve"> </w:t>
      </w:r>
      <w:r w:rsidRPr="00DA3367">
        <w:rPr>
          <w:rFonts w:ascii="Aptos" w:hAnsi="Aptos" w:cs="Calibri Light"/>
          <w:i/>
          <w:iCs/>
          <w:lang w:val="en-US"/>
        </w:rPr>
        <w:t>Goodwill and Other</w:t>
      </w:r>
      <w:r w:rsidR="00423AD5">
        <w:rPr>
          <w:rFonts w:ascii="Aptos" w:hAnsi="Aptos" w:cs="Calibri Light"/>
          <w:i/>
          <w:iCs/>
          <w:lang w:val="en-US"/>
        </w:rPr>
        <w:t xml:space="preserve"> </w:t>
      </w:r>
      <w:r w:rsidRPr="00DA3367">
        <w:rPr>
          <w:rFonts w:ascii="Aptos" w:hAnsi="Aptos" w:cs="Calibri Light"/>
          <w:i/>
          <w:iCs/>
          <w:lang w:val="en-US"/>
        </w:rPr>
        <w:t>—</w:t>
      </w:r>
      <w:r w:rsidR="00423AD5">
        <w:rPr>
          <w:rFonts w:ascii="Aptos" w:hAnsi="Aptos" w:cs="Calibri Light"/>
          <w:i/>
          <w:iCs/>
          <w:lang w:val="en-US"/>
        </w:rPr>
        <w:t xml:space="preserve"> </w:t>
      </w:r>
      <w:r w:rsidRPr="00DA3367">
        <w:rPr>
          <w:rFonts w:ascii="Aptos" w:hAnsi="Aptos" w:cs="Calibri Light"/>
          <w:i/>
          <w:iCs/>
          <w:lang w:val="en-US"/>
        </w:rPr>
        <w:t xml:space="preserve">Internal-Use Software </w:t>
      </w:r>
      <w:r w:rsidR="008376CD" w:rsidRPr="00F85557">
        <w:rPr>
          <w:rFonts w:ascii="Aptos" w:hAnsi="Aptos" w:cs="Calibri Light"/>
          <w:i/>
          <w:iCs/>
          <w:lang w:val="en-US"/>
        </w:rPr>
        <w:t>—</w:t>
      </w:r>
      <w:r w:rsidRPr="00DA3367">
        <w:rPr>
          <w:rFonts w:ascii="Aptos" w:hAnsi="Aptos" w:cs="Calibri Light"/>
          <w:i/>
          <w:iCs/>
          <w:lang w:val="en-US"/>
        </w:rPr>
        <w:t xml:space="preserve"> Recognition</w:t>
      </w:r>
    </w:p>
    <w:p w14:paraId="364E9E1E" w14:textId="486B7855" w:rsidR="00B0107E" w:rsidRPr="00DA3367" w:rsidRDefault="00B0107E" w:rsidP="00B0107E">
      <w:pPr>
        <w:pStyle w:val="PABullet1"/>
        <w:numPr>
          <w:ilvl w:val="0"/>
          <w:numId w:val="9"/>
        </w:numPr>
        <w:spacing w:before="240" w:after="240"/>
        <w:ind w:left="720"/>
        <w:rPr>
          <w:rFonts w:ascii="Aptos" w:hAnsi="Aptos" w:cs="Calibri Light"/>
          <w:i/>
          <w:iCs/>
        </w:rPr>
      </w:pPr>
      <w:hyperlink r:id="rId39" w:history="1">
        <w:r w:rsidRPr="00DA3367">
          <w:rPr>
            <w:rStyle w:val="Hyperlink"/>
            <w:rFonts w:ascii="Aptos" w:hAnsi="Aptos" w:cs="Calibri Light"/>
          </w:rPr>
          <w:t>350-40-30</w:t>
        </w:r>
      </w:hyperlink>
      <w:r w:rsidRPr="00DA3367">
        <w:rPr>
          <w:rFonts w:ascii="Aptos" w:hAnsi="Aptos" w:cs="Calibri Light"/>
          <w:i/>
          <w:iCs/>
        </w:rPr>
        <w:t xml:space="preserve">, </w:t>
      </w:r>
      <w:r w:rsidRPr="00DA3367">
        <w:rPr>
          <w:rFonts w:ascii="Aptos" w:hAnsi="Aptos" w:cs="Calibri Light"/>
          <w:i/>
          <w:iCs/>
          <w:lang w:val="en-US"/>
        </w:rPr>
        <w:t>Intangibles</w:t>
      </w:r>
      <w:r w:rsidR="00781951">
        <w:rPr>
          <w:rFonts w:ascii="Aptos" w:hAnsi="Aptos" w:cs="Calibri Light"/>
          <w:i/>
          <w:iCs/>
          <w:lang w:val="en-US"/>
        </w:rPr>
        <w:t xml:space="preserve"> </w:t>
      </w:r>
      <w:r w:rsidRPr="00DA3367">
        <w:rPr>
          <w:rFonts w:ascii="Aptos" w:hAnsi="Aptos" w:cs="Calibri Light"/>
          <w:i/>
          <w:iCs/>
          <w:lang w:val="en-US"/>
        </w:rPr>
        <w:t>—</w:t>
      </w:r>
      <w:r w:rsidR="00781951">
        <w:rPr>
          <w:rFonts w:ascii="Aptos" w:hAnsi="Aptos" w:cs="Calibri Light"/>
          <w:i/>
          <w:iCs/>
          <w:lang w:val="en-US"/>
        </w:rPr>
        <w:t xml:space="preserve"> </w:t>
      </w:r>
      <w:r w:rsidRPr="00DA3367">
        <w:rPr>
          <w:rFonts w:ascii="Aptos" w:hAnsi="Aptos" w:cs="Calibri Light"/>
          <w:i/>
          <w:iCs/>
          <w:lang w:val="en-US"/>
        </w:rPr>
        <w:t>Goodwill and Other</w:t>
      </w:r>
      <w:r w:rsidR="00781951">
        <w:rPr>
          <w:rFonts w:ascii="Aptos" w:hAnsi="Aptos" w:cs="Calibri Light"/>
          <w:i/>
          <w:iCs/>
          <w:lang w:val="en-US"/>
        </w:rPr>
        <w:t xml:space="preserve"> </w:t>
      </w:r>
      <w:r w:rsidRPr="00DA3367">
        <w:rPr>
          <w:rFonts w:ascii="Aptos" w:hAnsi="Aptos" w:cs="Calibri Light"/>
          <w:i/>
          <w:iCs/>
          <w:lang w:val="en-US"/>
        </w:rPr>
        <w:t>—</w:t>
      </w:r>
      <w:r w:rsidR="00781951">
        <w:rPr>
          <w:rFonts w:ascii="Aptos" w:hAnsi="Aptos" w:cs="Calibri Light"/>
          <w:i/>
          <w:iCs/>
          <w:lang w:val="en-US"/>
        </w:rPr>
        <w:t xml:space="preserve"> </w:t>
      </w:r>
      <w:r w:rsidRPr="00DA3367">
        <w:rPr>
          <w:rFonts w:ascii="Aptos" w:hAnsi="Aptos" w:cs="Calibri Light"/>
          <w:i/>
          <w:iCs/>
          <w:lang w:val="en-US"/>
        </w:rPr>
        <w:t xml:space="preserve">Internal-Use Software </w:t>
      </w:r>
      <w:r w:rsidR="008376CD" w:rsidRPr="00F85557">
        <w:rPr>
          <w:rFonts w:ascii="Aptos" w:hAnsi="Aptos" w:cs="Calibri Light"/>
          <w:i/>
          <w:iCs/>
          <w:lang w:val="en-US"/>
        </w:rPr>
        <w:t>—</w:t>
      </w:r>
      <w:r w:rsidRPr="00DA3367">
        <w:rPr>
          <w:rFonts w:ascii="Aptos" w:hAnsi="Aptos" w:cs="Calibri Light"/>
          <w:i/>
          <w:iCs/>
          <w:lang w:val="en-US"/>
        </w:rPr>
        <w:t xml:space="preserve"> Initial Measurement</w:t>
      </w:r>
    </w:p>
    <w:p w14:paraId="0114B1EE" w14:textId="55C9281E" w:rsidR="00B0107E" w:rsidRPr="00DA3367" w:rsidRDefault="00B0107E" w:rsidP="00B0107E">
      <w:pPr>
        <w:pStyle w:val="PABullet1"/>
        <w:numPr>
          <w:ilvl w:val="0"/>
          <w:numId w:val="9"/>
        </w:numPr>
        <w:spacing w:before="240" w:after="240"/>
        <w:ind w:left="720"/>
        <w:rPr>
          <w:rFonts w:ascii="Aptos" w:hAnsi="Aptos" w:cs="Calibri Light"/>
          <w:i/>
          <w:iCs/>
        </w:rPr>
      </w:pPr>
      <w:hyperlink r:id="rId40" w:history="1">
        <w:r w:rsidRPr="00DA3367">
          <w:rPr>
            <w:rStyle w:val="Hyperlink"/>
            <w:rFonts w:ascii="Aptos" w:hAnsi="Aptos" w:cs="Calibri Light"/>
          </w:rPr>
          <w:t>350-40-35</w:t>
        </w:r>
      </w:hyperlink>
      <w:r w:rsidRPr="00DA3367">
        <w:rPr>
          <w:rFonts w:ascii="Aptos" w:hAnsi="Aptos" w:cs="Calibri Light"/>
          <w:i/>
          <w:iCs/>
        </w:rPr>
        <w:t xml:space="preserve">, </w:t>
      </w:r>
      <w:r w:rsidRPr="00DA3367">
        <w:rPr>
          <w:rFonts w:ascii="Aptos" w:hAnsi="Aptos" w:cs="Calibri Light"/>
          <w:i/>
          <w:iCs/>
          <w:lang w:val="en-US"/>
        </w:rPr>
        <w:t>Intangibles</w:t>
      </w:r>
      <w:r w:rsidR="00781951">
        <w:rPr>
          <w:rFonts w:ascii="Aptos" w:hAnsi="Aptos" w:cs="Calibri Light"/>
          <w:i/>
          <w:iCs/>
          <w:lang w:val="en-US"/>
        </w:rPr>
        <w:t xml:space="preserve"> </w:t>
      </w:r>
      <w:r w:rsidRPr="00DA3367">
        <w:rPr>
          <w:rFonts w:ascii="Aptos" w:hAnsi="Aptos" w:cs="Calibri Light"/>
          <w:i/>
          <w:iCs/>
          <w:lang w:val="en-US"/>
        </w:rPr>
        <w:t>—</w:t>
      </w:r>
      <w:r w:rsidR="00781951">
        <w:rPr>
          <w:rFonts w:ascii="Aptos" w:hAnsi="Aptos" w:cs="Calibri Light"/>
          <w:i/>
          <w:iCs/>
          <w:lang w:val="en-US"/>
        </w:rPr>
        <w:t xml:space="preserve"> </w:t>
      </w:r>
      <w:r w:rsidRPr="00DA3367">
        <w:rPr>
          <w:rFonts w:ascii="Aptos" w:hAnsi="Aptos" w:cs="Calibri Light"/>
          <w:i/>
          <w:iCs/>
          <w:lang w:val="en-US"/>
        </w:rPr>
        <w:t>Goodwill and Other</w:t>
      </w:r>
      <w:r w:rsidR="00781951">
        <w:rPr>
          <w:rFonts w:ascii="Aptos" w:hAnsi="Aptos" w:cs="Calibri Light"/>
          <w:i/>
          <w:iCs/>
          <w:lang w:val="en-US"/>
        </w:rPr>
        <w:t xml:space="preserve"> </w:t>
      </w:r>
      <w:r w:rsidRPr="00DA3367">
        <w:rPr>
          <w:rFonts w:ascii="Aptos" w:hAnsi="Aptos" w:cs="Calibri Light"/>
          <w:i/>
          <w:iCs/>
          <w:lang w:val="en-US"/>
        </w:rPr>
        <w:t>—</w:t>
      </w:r>
      <w:r w:rsidR="00781951">
        <w:rPr>
          <w:rFonts w:ascii="Aptos" w:hAnsi="Aptos" w:cs="Calibri Light"/>
          <w:i/>
          <w:iCs/>
          <w:lang w:val="en-US"/>
        </w:rPr>
        <w:t xml:space="preserve"> </w:t>
      </w:r>
      <w:r w:rsidRPr="00DA3367">
        <w:rPr>
          <w:rFonts w:ascii="Aptos" w:hAnsi="Aptos" w:cs="Calibri Light"/>
          <w:i/>
          <w:iCs/>
          <w:lang w:val="en-US"/>
        </w:rPr>
        <w:t xml:space="preserve">Internal-Use Software </w:t>
      </w:r>
      <w:r w:rsidR="008376CD" w:rsidRPr="00F85557">
        <w:rPr>
          <w:rFonts w:ascii="Aptos" w:hAnsi="Aptos" w:cs="Calibri Light"/>
          <w:i/>
          <w:iCs/>
          <w:lang w:val="en-US"/>
        </w:rPr>
        <w:t>—</w:t>
      </w:r>
      <w:r w:rsidRPr="00DA3367">
        <w:rPr>
          <w:rFonts w:ascii="Aptos" w:hAnsi="Aptos" w:cs="Calibri Light"/>
          <w:i/>
          <w:iCs/>
          <w:lang w:val="en-US"/>
        </w:rPr>
        <w:t xml:space="preserve"> Subsequent Measurement</w:t>
      </w:r>
    </w:p>
    <w:p w14:paraId="11FAA073" w14:textId="052314FD" w:rsidR="00B0107E" w:rsidRPr="00DA3367" w:rsidRDefault="00B0107E" w:rsidP="00B0107E">
      <w:pPr>
        <w:pStyle w:val="PABullet1"/>
        <w:numPr>
          <w:ilvl w:val="0"/>
          <w:numId w:val="9"/>
        </w:numPr>
        <w:spacing w:before="240" w:after="240"/>
        <w:ind w:left="720"/>
        <w:rPr>
          <w:rFonts w:ascii="Aptos" w:hAnsi="Aptos" w:cs="Calibri Light"/>
        </w:rPr>
      </w:pPr>
      <w:hyperlink r:id="rId41" w:history="1">
        <w:r w:rsidRPr="00DA3367">
          <w:rPr>
            <w:rStyle w:val="Hyperlink"/>
            <w:rFonts w:ascii="Aptos" w:hAnsi="Aptos" w:cs="Calibri Light"/>
          </w:rPr>
          <w:t>350-40-50</w:t>
        </w:r>
      </w:hyperlink>
      <w:r w:rsidRPr="00DA3367">
        <w:rPr>
          <w:rFonts w:ascii="Aptos" w:hAnsi="Aptos" w:cs="Calibri Light"/>
        </w:rPr>
        <w:t xml:space="preserve">, </w:t>
      </w:r>
      <w:r w:rsidRPr="00DA3367">
        <w:rPr>
          <w:rFonts w:ascii="Aptos" w:hAnsi="Aptos" w:cs="Calibri Light"/>
          <w:i/>
          <w:iCs/>
          <w:lang w:val="en-US"/>
        </w:rPr>
        <w:t>Intangibles</w:t>
      </w:r>
      <w:r w:rsidR="00781951">
        <w:rPr>
          <w:rFonts w:ascii="Aptos" w:hAnsi="Aptos" w:cs="Calibri Light"/>
          <w:i/>
          <w:iCs/>
          <w:lang w:val="en-US"/>
        </w:rPr>
        <w:t xml:space="preserve"> </w:t>
      </w:r>
      <w:r w:rsidRPr="00DA3367">
        <w:rPr>
          <w:rFonts w:ascii="Aptos" w:hAnsi="Aptos" w:cs="Calibri Light"/>
          <w:i/>
          <w:iCs/>
          <w:lang w:val="en-US"/>
        </w:rPr>
        <w:t>—</w:t>
      </w:r>
      <w:r w:rsidR="00781951">
        <w:rPr>
          <w:rFonts w:ascii="Aptos" w:hAnsi="Aptos" w:cs="Calibri Light"/>
          <w:i/>
          <w:iCs/>
          <w:lang w:val="en-US"/>
        </w:rPr>
        <w:t xml:space="preserve"> </w:t>
      </w:r>
      <w:r w:rsidRPr="00DA3367">
        <w:rPr>
          <w:rFonts w:ascii="Aptos" w:hAnsi="Aptos" w:cs="Calibri Light"/>
          <w:i/>
          <w:iCs/>
          <w:lang w:val="en-US"/>
        </w:rPr>
        <w:t>Goodwill and Other</w:t>
      </w:r>
      <w:r w:rsidR="00781951">
        <w:rPr>
          <w:rFonts w:ascii="Aptos" w:hAnsi="Aptos" w:cs="Calibri Light"/>
          <w:i/>
          <w:iCs/>
          <w:lang w:val="en-US"/>
        </w:rPr>
        <w:t xml:space="preserve"> </w:t>
      </w:r>
      <w:r w:rsidRPr="00DA3367">
        <w:rPr>
          <w:rFonts w:ascii="Aptos" w:hAnsi="Aptos" w:cs="Calibri Light"/>
          <w:i/>
          <w:iCs/>
          <w:lang w:val="en-US"/>
        </w:rPr>
        <w:t>—</w:t>
      </w:r>
      <w:r w:rsidR="00781951">
        <w:rPr>
          <w:rFonts w:ascii="Aptos" w:hAnsi="Aptos" w:cs="Calibri Light"/>
          <w:i/>
          <w:iCs/>
          <w:lang w:val="en-US"/>
        </w:rPr>
        <w:t xml:space="preserve"> </w:t>
      </w:r>
      <w:r w:rsidRPr="00DA3367">
        <w:rPr>
          <w:rFonts w:ascii="Aptos" w:hAnsi="Aptos" w:cs="Calibri Light"/>
          <w:i/>
          <w:iCs/>
          <w:lang w:val="en-US"/>
        </w:rPr>
        <w:t xml:space="preserve">Internal-Use Software </w:t>
      </w:r>
      <w:r w:rsidR="008376CD" w:rsidRPr="00F85557">
        <w:rPr>
          <w:rFonts w:ascii="Aptos" w:hAnsi="Aptos" w:cs="Calibri Light"/>
          <w:i/>
          <w:iCs/>
          <w:lang w:val="en-US"/>
        </w:rPr>
        <w:t>—</w:t>
      </w:r>
      <w:r w:rsidRPr="00DA3367">
        <w:rPr>
          <w:rFonts w:ascii="Aptos" w:hAnsi="Aptos" w:cs="Calibri Light"/>
          <w:i/>
          <w:iCs/>
          <w:lang w:val="en-US"/>
        </w:rPr>
        <w:t xml:space="preserve"> Disclosure</w:t>
      </w:r>
    </w:p>
    <w:p w14:paraId="1B4BAE43" w14:textId="464A0D81" w:rsidR="00B0107E" w:rsidRPr="00DA3367" w:rsidRDefault="00B0107E" w:rsidP="00B0107E">
      <w:pPr>
        <w:pStyle w:val="PABullet1"/>
        <w:numPr>
          <w:ilvl w:val="0"/>
          <w:numId w:val="9"/>
        </w:numPr>
        <w:spacing w:before="240" w:after="240"/>
        <w:ind w:left="720"/>
        <w:rPr>
          <w:rFonts w:ascii="Aptos" w:hAnsi="Aptos" w:cs="Calibri Light"/>
          <w:i/>
          <w:iCs/>
        </w:rPr>
      </w:pPr>
      <w:hyperlink r:id="rId42" w:history="1">
        <w:r w:rsidRPr="00DA3367">
          <w:rPr>
            <w:rStyle w:val="Hyperlink"/>
            <w:rFonts w:ascii="Aptos" w:hAnsi="Aptos" w:cs="Calibri Light"/>
            <w:lang w:val="en-US"/>
          </w:rPr>
          <w:t>350-50-25</w:t>
        </w:r>
      </w:hyperlink>
      <w:r w:rsidRPr="00DA3367">
        <w:rPr>
          <w:rFonts w:ascii="Aptos" w:hAnsi="Aptos" w:cs="Calibri Light"/>
          <w:i/>
          <w:iCs/>
          <w:lang w:val="en-US"/>
        </w:rPr>
        <w:t>, Intangibles</w:t>
      </w:r>
      <w:r w:rsidR="00781951">
        <w:rPr>
          <w:rFonts w:ascii="Aptos" w:hAnsi="Aptos" w:cs="Calibri Light"/>
          <w:i/>
          <w:iCs/>
          <w:lang w:val="en-US"/>
        </w:rPr>
        <w:t xml:space="preserve"> </w:t>
      </w:r>
      <w:r w:rsidRPr="00DA3367">
        <w:rPr>
          <w:rFonts w:ascii="Aptos" w:hAnsi="Aptos" w:cs="Calibri Light"/>
          <w:i/>
          <w:iCs/>
          <w:lang w:val="en-US"/>
        </w:rPr>
        <w:t>—</w:t>
      </w:r>
      <w:r w:rsidR="00781951">
        <w:rPr>
          <w:rFonts w:ascii="Aptos" w:hAnsi="Aptos" w:cs="Calibri Light"/>
          <w:i/>
          <w:iCs/>
          <w:lang w:val="en-US"/>
        </w:rPr>
        <w:t xml:space="preserve"> </w:t>
      </w:r>
      <w:r w:rsidRPr="00DA3367">
        <w:rPr>
          <w:rFonts w:ascii="Aptos" w:hAnsi="Aptos" w:cs="Calibri Light"/>
          <w:i/>
          <w:iCs/>
          <w:lang w:val="en-US"/>
        </w:rPr>
        <w:t>Goodwill and Other</w:t>
      </w:r>
      <w:r w:rsidR="00781951">
        <w:rPr>
          <w:rFonts w:ascii="Aptos" w:hAnsi="Aptos" w:cs="Calibri Light"/>
          <w:i/>
          <w:iCs/>
          <w:lang w:val="en-US"/>
        </w:rPr>
        <w:t xml:space="preserve"> </w:t>
      </w:r>
      <w:r w:rsidRPr="00DA3367">
        <w:rPr>
          <w:rFonts w:ascii="Aptos" w:hAnsi="Aptos" w:cs="Calibri Light"/>
          <w:i/>
          <w:iCs/>
          <w:lang w:val="en-US"/>
        </w:rPr>
        <w:t>—</w:t>
      </w:r>
      <w:r w:rsidR="00781951">
        <w:rPr>
          <w:rFonts w:ascii="Aptos" w:hAnsi="Aptos" w:cs="Calibri Light"/>
          <w:i/>
          <w:iCs/>
          <w:lang w:val="en-US"/>
        </w:rPr>
        <w:t xml:space="preserve"> </w:t>
      </w:r>
      <w:r w:rsidR="004125AB">
        <w:rPr>
          <w:rFonts w:ascii="Aptos" w:hAnsi="Aptos" w:cs="Calibri Light"/>
          <w:i/>
          <w:iCs/>
          <w:lang w:val="en-US"/>
        </w:rPr>
        <w:t>Website Development Costs</w:t>
      </w:r>
      <w:r w:rsidRPr="00DA3367">
        <w:rPr>
          <w:rFonts w:ascii="Aptos" w:hAnsi="Aptos" w:cs="Calibri Light"/>
          <w:i/>
          <w:iCs/>
          <w:lang w:val="en-US"/>
        </w:rPr>
        <w:t xml:space="preserve"> </w:t>
      </w:r>
      <w:r w:rsidR="008376CD" w:rsidRPr="00F85557">
        <w:rPr>
          <w:rFonts w:ascii="Aptos" w:hAnsi="Aptos" w:cs="Calibri Light"/>
          <w:i/>
          <w:iCs/>
          <w:lang w:val="en-US"/>
        </w:rPr>
        <w:t>—</w:t>
      </w:r>
      <w:r w:rsidRPr="00DA3367">
        <w:rPr>
          <w:rFonts w:ascii="Aptos" w:hAnsi="Aptos" w:cs="Calibri Light"/>
          <w:i/>
          <w:iCs/>
          <w:lang w:val="en-US"/>
        </w:rPr>
        <w:t xml:space="preserve"> Recognition</w:t>
      </w:r>
    </w:p>
    <w:p w14:paraId="3204B984" w14:textId="1445042B" w:rsidR="00BF1180" w:rsidRPr="00DA3367" w:rsidRDefault="00BF1180" w:rsidP="00B0107E">
      <w:pPr>
        <w:pStyle w:val="PABullet1"/>
        <w:numPr>
          <w:ilvl w:val="0"/>
          <w:numId w:val="9"/>
        </w:numPr>
        <w:spacing w:before="240" w:after="240"/>
        <w:ind w:left="720"/>
        <w:rPr>
          <w:rFonts w:ascii="Aptos" w:hAnsi="Aptos" w:cs="Calibri Light"/>
          <w:i/>
          <w:iCs/>
        </w:rPr>
      </w:pPr>
      <w:hyperlink r:id="rId43" w:history="1">
        <w:r w:rsidRPr="00DA3367">
          <w:rPr>
            <w:rStyle w:val="Hyperlink"/>
            <w:rFonts w:ascii="Aptos" w:hAnsi="Aptos" w:cs="Calibri Light"/>
            <w:lang w:val="en-US"/>
          </w:rPr>
          <w:t>730-10-25</w:t>
        </w:r>
      </w:hyperlink>
      <w:r w:rsidRPr="00DA3367">
        <w:rPr>
          <w:rFonts w:ascii="Aptos" w:hAnsi="Aptos" w:cs="Calibri Light"/>
          <w:i/>
          <w:iCs/>
          <w:lang w:val="en-US"/>
        </w:rPr>
        <w:t xml:space="preserve">, Research and Development </w:t>
      </w:r>
      <w:r w:rsidR="00781951" w:rsidRPr="0082141A">
        <w:rPr>
          <w:rFonts w:ascii="Aptos" w:hAnsi="Aptos" w:cs="Calibri Light"/>
          <w:i/>
          <w:iCs/>
          <w:lang w:val="en-US"/>
        </w:rPr>
        <w:t>—</w:t>
      </w:r>
      <w:r w:rsidRPr="00DA3367">
        <w:rPr>
          <w:rFonts w:ascii="Aptos" w:hAnsi="Aptos" w:cs="Calibri Light"/>
          <w:i/>
          <w:iCs/>
          <w:lang w:val="en-US"/>
        </w:rPr>
        <w:t xml:space="preserve"> Overall </w:t>
      </w:r>
      <w:r w:rsidR="008376CD" w:rsidRPr="00F85557">
        <w:rPr>
          <w:rFonts w:ascii="Aptos" w:hAnsi="Aptos" w:cs="Calibri Light"/>
          <w:i/>
          <w:iCs/>
          <w:lang w:val="en-US"/>
        </w:rPr>
        <w:t>—</w:t>
      </w:r>
      <w:r w:rsidRPr="00DA3367">
        <w:rPr>
          <w:rFonts w:ascii="Aptos" w:hAnsi="Aptos" w:cs="Calibri Light"/>
          <w:i/>
          <w:iCs/>
          <w:lang w:val="en-US"/>
        </w:rPr>
        <w:t xml:space="preserve"> Recognition</w:t>
      </w:r>
    </w:p>
    <w:p w14:paraId="0BE4B743" w14:textId="42D28F4B" w:rsidR="00B85A62" w:rsidRPr="00DA3367" w:rsidRDefault="00781951" w:rsidP="00DA3367">
      <w:pPr>
        <w:pStyle w:val="ListParagraph"/>
        <w:numPr>
          <w:ilvl w:val="0"/>
          <w:numId w:val="26"/>
        </w:numPr>
        <w:ind w:left="360"/>
        <w:rPr>
          <w:rStyle w:val="Hyperlink"/>
          <w:rFonts w:ascii="Aptos" w:eastAsia="Verdana" w:hAnsi="Aptos" w:cs="Calibri Light"/>
          <w:color w:val="000000" w:themeColor="text1"/>
          <w:szCs w:val="18"/>
          <w:shd w:val="clear" w:color="auto" w:fill="FFFFFF"/>
          <w:lang w:val="en-GB"/>
        </w:rPr>
      </w:pPr>
      <w:hyperlink r:id="rId44" w:history="1">
        <w:r w:rsidRPr="001074EB">
          <w:rPr>
            <w:rStyle w:val="Hyperlink"/>
            <w:rFonts w:ascii="Aptos" w:eastAsia="Verdana" w:hAnsi="Aptos" w:cs="Calibri Light"/>
          </w:rPr>
          <w:t>2025-07 — Derivatives and Hedging (Topic 815) and Revenue from Contracts with Customers (Topic 606): Derivatives Scope Refinements and Scope Clarification for Share-Based Noncash Consideration from a Customer in a Revenue Contract</w:t>
        </w:r>
      </w:hyperlink>
    </w:p>
    <w:p w14:paraId="65038CA1" w14:textId="0B77BEF0" w:rsidR="00186B91" w:rsidRPr="00DA3367" w:rsidRDefault="00186B91" w:rsidP="00186B91">
      <w:pPr>
        <w:ind w:left="360"/>
        <w:rPr>
          <w:rFonts w:ascii="Aptos" w:hAnsi="Aptos" w:cs="Calibri Light"/>
        </w:rPr>
      </w:pPr>
      <w:r w:rsidRPr="00DA3367">
        <w:rPr>
          <w:rFonts w:ascii="Aptos" w:hAnsi="Aptos" w:cs="Calibri Light"/>
        </w:rPr>
        <w:t xml:space="preserve">The following sections have not </w:t>
      </w:r>
      <w:proofErr w:type="gramStart"/>
      <w:r w:rsidRPr="00DA3367">
        <w:rPr>
          <w:rFonts w:ascii="Aptos" w:hAnsi="Aptos" w:cs="Calibri Light"/>
        </w:rPr>
        <w:t>been updated</w:t>
      </w:r>
      <w:proofErr w:type="gramEnd"/>
      <w:r w:rsidRPr="00DA3367">
        <w:rPr>
          <w:rFonts w:ascii="Aptos" w:hAnsi="Aptos" w:cs="Calibri Light"/>
        </w:rPr>
        <w:t xml:space="preserve"> in the U.S. GAAP Checklist because there are no questions related to background, scope, glossary, implementation, or SEC Materials guidance, but the sections </w:t>
      </w:r>
      <w:proofErr w:type="gramStart"/>
      <w:r w:rsidRPr="00DA3367">
        <w:rPr>
          <w:rFonts w:ascii="Aptos" w:hAnsi="Aptos" w:cs="Calibri Light"/>
        </w:rPr>
        <w:t>were amended</w:t>
      </w:r>
      <w:proofErr w:type="gramEnd"/>
      <w:r w:rsidRPr="00DA3367">
        <w:rPr>
          <w:rFonts w:ascii="Aptos" w:hAnsi="Aptos" w:cs="Calibri Light"/>
        </w:rPr>
        <w:t xml:space="preserve"> in the Codification to reflect the clarifications made in the ASU as described above:</w:t>
      </w:r>
    </w:p>
    <w:p w14:paraId="78428CD2" w14:textId="5F448BFF" w:rsidR="00186B91" w:rsidRPr="00DA3367" w:rsidRDefault="000E2042" w:rsidP="00DA3367">
      <w:pPr>
        <w:pStyle w:val="PABullet1"/>
        <w:numPr>
          <w:ilvl w:val="0"/>
          <w:numId w:val="9"/>
        </w:numPr>
        <w:spacing w:before="240" w:after="240"/>
        <w:ind w:left="720"/>
        <w:rPr>
          <w:rStyle w:val="Hyperlink"/>
          <w:rFonts w:ascii="Aptos" w:hAnsi="Aptos" w:cs="Calibri Light"/>
          <w:i/>
          <w:iCs/>
        </w:rPr>
      </w:pPr>
      <w:hyperlink r:id="rId45" w:history="1">
        <w:r w:rsidRPr="00DA3367">
          <w:rPr>
            <w:rStyle w:val="Hyperlink"/>
            <w:rFonts w:ascii="Aptos" w:hAnsi="Aptos" w:cs="Calibri Light"/>
          </w:rPr>
          <w:t>321-10-15</w:t>
        </w:r>
      </w:hyperlink>
      <w:r w:rsidR="0093747C" w:rsidRPr="00DA3367">
        <w:rPr>
          <w:rStyle w:val="Hyperlink"/>
          <w:rFonts w:ascii="Aptos" w:hAnsi="Aptos" w:cs="Calibri Light"/>
          <w:i/>
          <w:iCs/>
          <w:color w:val="000000" w:themeColor="text1"/>
          <w:u w:val="none"/>
        </w:rPr>
        <w:t>, Investments</w:t>
      </w:r>
      <w:r w:rsidR="007E461F">
        <w:rPr>
          <w:rStyle w:val="Hyperlink"/>
          <w:rFonts w:ascii="Aptos" w:hAnsi="Aptos" w:cs="Calibri Light"/>
          <w:i/>
          <w:iCs/>
          <w:color w:val="000000" w:themeColor="text1"/>
          <w:u w:val="none"/>
        </w:rPr>
        <w:t xml:space="preserve"> </w:t>
      </w:r>
      <w:r w:rsidR="007E461F" w:rsidRPr="00F85557">
        <w:rPr>
          <w:rFonts w:ascii="Aptos" w:hAnsi="Aptos" w:cs="Calibri Light"/>
          <w:i/>
          <w:iCs/>
          <w:lang w:val="en-US"/>
        </w:rPr>
        <w:t>—</w:t>
      </w:r>
      <w:r w:rsidR="0093747C" w:rsidRPr="00DA3367">
        <w:rPr>
          <w:rStyle w:val="Hyperlink"/>
          <w:rFonts w:ascii="Aptos" w:hAnsi="Aptos" w:cs="Calibri Light"/>
          <w:i/>
          <w:iCs/>
          <w:color w:val="000000" w:themeColor="text1"/>
          <w:u w:val="none"/>
        </w:rPr>
        <w:t xml:space="preserve"> Equity Securities </w:t>
      </w:r>
      <w:r w:rsidR="008376CD" w:rsidRPr="00F85557">
        <w:rPr>
          <w:rFonts w:ascii="Aptos" w:hAnsi="Aptos" w:cs="Calibri Light"/>
          <w:i/>
          <w:iCs/>
          <w:lang w:val="en-US"/>
        </w:rPr>
        <w:t>—</w:t>
      </w:r>
      <w:r w:rsidR="0093747C" w:rsidRPr="00DA3367">
        <w:rPr>
          <w:rStyle w:val="Hyperlink"/>
          <w:rFonts w:ascii="Aptos" w:hAnsi="Aptos" w:cs="Calibri Light"/>
          <w:i/>
          <w:iCs/>
          <w:color w:val="000000" w:themeColor="text1"/>
          <w:u w:val="none"/>
        </w:rPr>
        <w:t xml:space="preserve"> Overall </w:t>
      </w:r>
      <w:r w:rsidR="008376CD" w:rsidRPr="00F85557">
        <w:rPr>
          <w:rFonts w:ascii="Aptos" w:hAnsi="Aptos" w:cs="Calibri Light"/>
          <w:i/>
          <w:iCs/>
          <w:lang w:val="en-US"/>
        </w:rPr>
        <w:t>—</w:t>
      </w:r>
      <w:r w:rsidR="0093747C" w:rsidRPr="00DA3367">
        <w:rPr>
          <w:rStyle w:val="Hyperlink"/>
          <w:rFonts w:ascii="Aptos" w:hAnsi="Aptos" w:cs="Calibri Light"/>
          <w:i/>
          <w:iCs/>
          <w:color w:val="000000" w:themeColor="text1"/>
          <w:u w:val="none"/>
        </w:rPr>
        <w:t xml:space="preserve"> Scope and Scope Exceptions</w:t>
      </w:r>
    </w:p>
    <w:p w14:paraId="7A325152" w14:textId="6FD74A52" w:rsidR="000E2042" w:rsidRPr="00DA3367" w:rsidRDefault="000E2042" w:rsidP="00DA3367">
      <w:pPr>
        <w:pStyle w:val="PABullet1"/>
        <w:numPr>
          <w:ilvl w:val="0"/>
          <w:numId w:val="9"/>
        </w:numPr>
        <w:spacing w:before="240" w:after="240"/>
        <w:ind w:left="720"/>
        <w:rPr>
          <w:rStyle w:val="Hyperlink"/>
          <w:rFonts w:ascii="Aptos" w:hAnsi="Aptos" w:cs="Calibri Light"/>
          <w:i/>
          <w:iCs/>
          <w:color w:val="000000" w:themeColor="text1"/>
        </w:rPr>
      </w:pPr>
      <w:hyperlink r:id="rId46" w:history="1">
        <w:r w:rsidRPr="00DA3367">
          <w:rPr>
            <w:rStyle w:val="Hyperlink"/>
            <w:rFonts w:ascii="Aptos" w:hAnsi="Aptos" w:cs="Calibri Light"/>
          </w:rPr>
          <w:t>606-10-15</w:t>
        </w:r>
      </w:hyperlink>
      <w:r w:rsidR="003E0077" w:rsidRPr="00DA3367">
        <w:rPr>
          <w:rStyle w:val="Hyperlink"/>
          <w:rFonts w:ascii="Aptos" w:hAnsi="Aptos" w:cs="Calibri Light"/>
          <w:i/>
          <w:iCs/>
          <w:color w:val="000000" w:themeColor="text1"/>
          <w:u w:val="none"/>
        </w:rPr>
        <w:t xml:space="preserve">, Revenue from Contracts with Customers </w:t>
      </w:r>
      <w:r w:rsidR="008376CD" w:rsidRPr="00F85557">
        <w:rPr>
          <w:rFonts w:ascii="Aptos" w:hAnsi="Aptos" w:cs="Calibri Light"/>
          <w:i/>
          <w:iCs/>
          <w:lang w:val="en-US"/>
        </w:rPr>
        <w:t>—</w:t>
      </w:r>
      <w:r w:rsidR="003E0077" w:rsidRPr="00DA3367">
        <w:rPr>
          <w:rStyle w:val="Hyperlink"/>
          <w:rFonts w:ascii="Aptos" w:hAnsi="Aptos" w:cs="Calibri Light"/>
          <w:i/>
          <w:iCs/>
          <w:color w:val="000000" w:themeColor="text1"/>
          <w:u w:val="none"/>
        </w:rPr>
        <w:t xml:space="preserve"> Overall </w:t>
      </w:r>
      <w:r w:rsidR="008376CD" w:rsidRPr="00F85557">
        <w:rPr>
          <w:rFonts w:ascii="Aptos" w:hAnsi="Aptos" w:cs="Calibri Light"/>
          <w:i/>
          <w:iCs/>
          <w:lang w:val="en-US"/>
        </w:rPr>
        <w:t>—</w:t>
      </w:r>
      <w:r w:rsidR="003E0077" w:rsidRPr="00DA3367">
        <w:rPr>
          <w:rStyle w:val="Hyperlink"/>
          <w:rFonts w:ascii="Aptos" w:hAnsi="Aptos" w:cs="Calibri Light"/>
          <w:i/>
          <w:iCs/>
          <w:color w:val="000000" w:themeColor="text1"/>
          <w:u w:val="none"/>
        </w:rPr>
        <w:t xml:space="preserve"> </w:t>
      </w:r>
      <w:r w:rsidR="000D4836" w:rsidRPr="00DA3367">
        <w:rPr>
          <w:rStyle w:val="Hyperlink"/>
          <w:rFonts w:ascii="Aptos" w:hAnsi="Aptos" w:cs="Calibri Light"/>
          <w:i/>
          <w:iCs/>
          <w:color w:val="000000" w:themeColor="text1"/>
          <w:u w:val="none"/>
        </w:rPr>
        <w:t>Scope and Scope Exceptions</w:t>
      </w:r>
    </w:p>
    <w:p w14:paraId="10EABF91" w14:textId="16764659" w:rsidR="000E2042" w:rsidRPr="00DA3367" w:rsidRDefault="000E2042" w:rsidP="00DA3367">
      <w:pPr>
        <w:pStyle w:val="PABullet1"/>
        <w:numPr>
          <w:ilvl w:val="0"/>
          <w:numId w:val="9"/>
        </w:numPr>
        <w:spacing w:before="240" w:after="240"/>
        <w:ind w:left="720"/>
        <w:rPr>
          <w:rStyle w:val="Hyperlink"/>
          <w:rFonts w:ascii="Aptos" w:hAnsi="Aptos" w:cs="Calibri Light"/>
          <w:i/>
          <w:iCs/>
          <w:color w:val="000000" w:themeColor="text1"/>
        </w:rPr>
      </w:pPr>
      <w:hyperlink r:id="rId47" w:history="1">
        <w:r w:rsidRPr="00DA3367">
          <w:rPr>
            <w:rStyle w:val="Hyperlink"/>
            <w:rFonts w:ascii="Aptos" w:hAnsi="Aptos" w:cs="Calibri Light"/>
          </w:rPr>
          <w:t>606-10-55</w:t>
        </w:r>
      </w:hyperlink>
      <w:r w:rsidR="003E0077" w:rsidRPr="00DA3367">
        <w:rPr>
          <w:rStyle w:val="Hyperlink"/>
          <w:rFonts w:ascii="Aptos" w:hAnsi="Aptos" w:cs="Calibri Light"/>
          <w:i/>
          <w:iCs/>
          <w:color w:val="000000" w:themeColor="text1"/>
          <w:u w:val="none"/>
        </w:rPr>
        <w:t xml:space="preserve">, Revenue from Contracts with Customers </w:t>
      </w:r>
      <w:r w:rsidR="008376CD" w:rsidRPr="00F85557">
        <w:rPr>
          <w:rFonts w:ascii="Aptos" w:hAnsi="Aptos" w:cs="Calibri Light"/>
          <w:i/>
          <w:iCs/>
          <w:lang w:val="en-US"/>
        </w:rPr>
        <w:t>—</w:t>
      </w:r>
      <w:r w:rsidR="003E0077" w:rsidRPr="00DA3367">
        <w:rPr>
          <w:rStyle w:val="Hyperlink"/>
          <w:rFonts w:ascii="Aptos" w:hAnsi="Aptos" w:cs="Calibri Light"/>
          <w:i/>
          <w:iCs/>
          <w:color w:val="000000" w:themeColor="text1"/>
          <w:u w:val="none"/>
        </w:rPr>
        <w:t xml:space="preserve"> Overall </w:t>
      </w:r>
      <w:r w:rsidR="008376CD" w:rsidRPr="00F85557">
        <w:rPr>
          <w:rFonts w:ascii="Aptos" w:hAnsi="Aptos" w:cs="Calibri Light"/>
          <w:i/>
          <w:iCs/>
          <w:lang w:val="en-US"/>
        </w:rPr>
        <w:t>—</w:t>
      </w:r>
      <w:r w:rsidR="003E0077" w:rsidRPr="00DA3367">
        <w:rPr>
          <w:rStyle w:val="Hyperlink"/>
          <w:rFonts w:ascii="Aptos" w:hAnsi="Aptos" w:cs="Calibri Light"/>
          <w:i/>
          <w:iCs/>
          <w:color w:val="000000" w:themeColor="text1"/>
          <w:u w:val="none"/>
        </w:rPr>
        <w:t xml:space="preserve"> Implementation Guidance and Illustrations</w:t>
      </w:r>
    </w:p>
    <w:p w14:paraId="20778F55" w14:textId="13B299A2" w:rsidR="000E2042" w:rsidRPr="00DA3367" w:rsidRDefault="00380DB6" w:rsidP="00DA3367">
      <w:pPr>
        <w:pStyle w:val="PABullet1"/>
        <w:numPr>
          <w:ilvl w:val="0"/>
          <w:numId w:val="9"/>
        </w:numPr>
        <w:spacing w:before="240" w:after="240"/>
        <w:ind w:left="720"/>
        <w:rPr>
          <w:rStyle w:val="Hyperlink"/>
          <w:rFonts w:ascii="Aptos" w:hAnsi="Aptos" w:cs="Calibri Light"/>
          <w:i/>
          <w:iCs/>
          <w:color w:val="000000" w:themeColor="text1"/>
        </w:rPr>
      </w:pPr>
      <w:hyperlink r:id="rId48" w:history="1">
        <w:r w:rsidRPr="00DA3367">
          <w:rPr>
            <w:rStyle w:val="Hyperlink"/>
            <w:rFonts w:ascii="Aptos" w:hAnsi="Aptos" w:cs="Calibri Light"/>
          </w:rPr>
          <w:t>606-10-65</w:t>
        </w:r>
      </w:hyperlink>
      <w:r w:rsidR="006A70DB" w:rsidRPr="00DA3367">
        <w:rPr>
          <w:rStyle w:val="Hyperlink"/>
          <w:rFonts w:ascii="Aptos" w:hAnsi="Aptos" w:cs="Calibri Light"/>
          <w:i/>
          <w:iCs/>
          <w:color w:val="000000" w:themeColor="text1"/>
          <w:u w:val="none"/>
        </w:rPr>
        <w:t xml:space="preserve">, Revenue from Contracts with Customers </w:t>
      </w:r>
      <w:r w:rsidR="008376CD" w:rsidRPr="00F85557">
        <w:rPr>
          <w:rFonts w:ascii="Aptos" w:hAnsi="Aptos" w:cs="Calibri Light"/>
          <w:i/>
          <w:iCs/>
          <w:lang w:val="en-US"/>
        </w:rPr>
        <w:t>—</w:t>
      </w:r>
      <w:r w:rsidR="006A70DB" w:rsidRPr="00DA3367">
        <w:rPr>
          <w:rStyle w:val="Hyperlink"/>
          <w:rFonts w:ascii="Aptos" w:hAnsi="Aptos" w:cs="Calibri Light"/>
          <w:i/>
          <w:iCs/>
          <w:color w:val="000000" w:themeColor="text1"/>
          <w:u w:val="none"/>
        </w:rPr>
        <w:t xml:space="preserve"> Overall </w:t>
      </w:r>
      <w:r w:rsidR="008376CD" w:rsidRPr="00F85557">
        <w:rPr>
          <w:rFonts w:ascii="Aptos" w:hAnsi="Aptos" w:cs="Calibri Light"/>
          <w:i/>
          <w:iCs/>
          <w:lang w:val="en-US"/>
        </w:rPr>
        <w:t>—</w:t>
      </w:r>
      <w:r w:rsidR="006A70DB" w:rsidRPr="00DA3367">
        <w:rPr>
          <w:rStyle w:val="Hyperlink"/>
          <w:rFonts w:ascii="Aptos" w:hAnsi="Aptos" w:cs="Calibri Light"/>
          <w:i/>
          <w:iCs/>
          <w:color w:val="000000" w:themeColor="text1"/>
          <w:u w:val="none"/>
        </w:rPr>
        <w:t xml:space="preserve"> Transition and Open Effective Date Information</w:t>
      </w:r>
    </w:p>
    <w:p w14:paraId="3B37D94F" w14:textId="354BC182" w:rsidR="00380DB6" w:rsidRPr="00DA3367" w:rsidRDefault="00380DB6" w:rsidP="00DA3367">
      <w:pPr>
        <w:pStyle w:val="PABullet1"/>
        <w:numPr>
          <w:ilvl w:val="0"/>
          <w:numId w:val="9"/>
        </w:numPr>
        <w:spacing w:before="240" w:after="240"/>
        <w:ind w:left="720"/>
        <w:rPr>
          <w:rStyle w:val="Hyperlink"/>
          <w:rFonts w:ascii="Aptos" w:hAnsi="Aptos" w:cs="Calibri Light"/>
          <w:i/>
          <w:iCs/>
          <w:color w:val="000000" w:themeColor="text1"/>
        </w:rPr>
      </w:pPr>
      <w:hyperlink r:id="rId49" w:history="1">
        <w:r w:rsidRPr="00DA3367">
          <w:rPr>
            <w:rStyle w:val="Hyperlink"/>
            <w:rFonts w:ascii="Aptos" w:hAnsi="Aptos" w:cs="Calibri Light"/>
          </w:rPr>
          <w:t>610-20-15</w:t>
        </w:r>
      </w:hyperlink>
      <w:r w:rsidR="00692932" w:rsidRPr="00DA3367">
        <w:rPr>
          <w:rStyle w:val="Hyperlink"/>
          <w:rFonts w:ascii="Aptos" w:hAnsi="Aptos" w:cs="Calibri Light"/>
          <w:i/>
          <w:iCs/>
          <w:color w:val="000000" w:themeColor="text1"/>
          <w:u w:val="none"/>
        </w:rPr>
        <w:t xml:space="preserve">, Other Income </w:t>
      </w:r>
      <w:r w:rsidR="008376CD" w:rsidRPr="00F85557">
        <w:rPr>
          <w:rFonts w:ascii="Aptos" w:hAnsi="Aptos" w:cs="Calibri Light"/>
          <w:i/>
          <w:iCs/>
          <w:lang w:val="en-US"/>
        </w:rPr>
        <w:t>—</w:t>
      </w:r>
      <w:r w:rsidR="00692932" w:rsidRPr="00DA3367">
        <w:rPr>
          <w:rStyle w:val="Hyperlink"/>
          <w:rFonts w:ascii="Aptos" w:hAnsi="Aptos" w:cs="Calibri Light"/>
          <w:i/>
          <w:iCs/>
          <w:color w:val="000000" w:themeColor="text1"/>
          <w:u w:val="none"/>
        </w:rPr>
        <w:t xml:space="preserve"> Gains and Losses from the De</w:t>
      </w:r>
      <w:r w:rsidR="00B85A62" w:rsidRPr="00DA3367">
        <w:rPr>
          <w:rStyle w:val="Hyperlink"/>
          <w:rFonts w:ascii="Aptos" w:hAnsi="Aptos" w:cs="Calibri Light"/>
          <w:i/>
          <w:iCs/>
          <w:color w:val="000000" w:themeColor="text1"/>
          <w:u w:val="none"/>
        </w:rPr>
        <w:t>recognition of Nonfinancial Assets</w:t>
      </w:r>
      <w:r w:rsidR="008376CD">
        <w:rPr>
          <w:rStyle w:val="Hyperlink"/>
          <w:rFonts w:ascii="Aptos" w:hAnsi="Aptos" w:cs="Calibri Light"/>
          <w:i/>
          <w:iCs/>
          <w:color w:val="000000" w:themeColor="text1"/>
          <w:u w:val="none"/>
        </w:rPr>
        <w:t xml:space="preserve"> </w:t>
      </w:r>
      <w:r w:rsidR="008376CD" w:rsidRPr="00F85557">
        <w:rPr>
          <w:rFonts w:ascii="Aptos" w:hAnsi="Aptos" w:cs="Calibri Light"/>
          <w:i/>
          <w:iCs/>
          <w:lang w:val="en-US"/>
        </w:rPr>
        <w:t>—</w:t>
      </w:r>
      <w:r w:rsidR="008376CD">
        <w:rPr>
          <w:rFonts w:ascii="Aptos" w:hAnsi="Aptos" w:cs="Calibri Light"/>
          <w:i/>
          <w:iCs/>
          <w:lang w:val="en-US"/>
        </w:rPr>
        <w:t xml:space="preserve"> Scope and Scope Exceptions</w:t>
      </w:r>
    </w:p>
    <w:p w14:paraId="107A3F55" w14:textId="6C909793" w:rsidR="00380DB6" w:rsidRPr="00DA3367" w:rsidRDefault="00380DB6" w:rsidP="00DA3367">
      <w:pPr>
        <w:pStyle w:val="PABullet1"/>
        <w:numPr>
          <w:ilvl w:val="0"/>
          <w:numId w:val="9"/>
        </w:numPr>
        <w:spacing w:before="240" w:after="240"/>
        <w:ind w:left="720"/>
        <w:rPr>
          <w:rStyle w:val="Hyperlink"/>
          <w:rFonts w:ascii="Aptos" w:hAnsi="Aptos" w:cs="Calibri Light"/>
          <w:i/>
          <w:iCs/>
          <w:color w:val="000000" w:themeColor="text1"/>
        </w:rPr>
      </w:pPr>
      <w:hyperlink r:id="rId50" w:history="1">
        <w:r w:rsidRPr="00DA3367">
          <w:rPr>
            <w:rStyle w:val="Hyperlink"/>
            <w:rFonts w:ascii="Aptos" w:hAnsi="Aptos" w:cs="Calibri Light"/>
          </w:rPr>
          <w:t>815-10-15</w:t>
        </w:r>
      </w:hyperlink>
      <w:r w:rsidR="00AC4AD8" w:rsidRPr="00DA3367">
        <w:rPr>
          <w:rStyle w:val="Hyperlink"/>
          <w:rFonts w:ascii="Aptos" w:hAnsi="Aptos" w:cs="Calibri Light"/>
          <w:i/>
          <w:iCs/>
          <w:color w:val="000000" w:themeColor="text1"/>
          <w:u w:val="none"/>
        </w:rPr>
        <w:t xml:space="preserve">, Derivatives and Hedging </w:t>
      </w:r>
      <w:r w:rsidR="008376CD" w:rsidRPr="00F85557">
        <w:rPr>
          <w:rFonts w:ascii="Aptos" w:hAnsi="Aptos" w:cs="Calibri Light"/>
          <w:i/>
          <w:iCs/>
          <w:lang w:val="en-US"/>
        </w:rPr>
        <w:t>—</w:t>
      </w:r>
      <w:r w:rsidR="00AC4AD8" w:rsidRPr="00DA3367">
        <w:rPr>
          <w:rStyle w:val="Hyperlink"/>
          <w:rFonts w:ascii="Aptos" w:hAnsi="Aptos" w:cs="Calibri Light"/>
          <w:i/>
          <w:iCs/>
          <w:color w:val="000000" w:themeColor="text1"/>
          <w:u w:val="none"/>
        </w:rPr>
        <w:t xml:space="preserve"> Overall </w:t>
      </w:r>
      <w:r w:rsidR="008376CD" w:rsidRPr="00F85557">
        <w:rPr>
          <w:rFonts w:ascii="Aptos" w:hAnsi="Aptos" w:cs="Calibri Light"/>
          <w:i/>
          <w:iCs/>
          <w:lang w:val="en-US"/>
        </w:rPr>
        <w:t>—</w:t>
      </w:r>
      <w:r w:rsidR="00692932" w:rsidRPr="00DA3367">
        <w:rPr>
          <w:rStyle w:val="Hyperlink"/>
          <w:rFonts w:ascii="Aptos" w:hAnsi="Aptos" w:cs="Calibri Light"/>
          <w:i/>
          <w:iCs/>
          <w:color w:val="000000" w:themeColor="text1"/>
          <w:u w:val="none"/>
        </w:rPr>
        <w:t xml:space="preserve"> Scope and Scope Exceptions</w:t>
      </w:r>
    </w:p>
    <w:p w14:paraId="55EA174A" w14:textId="1A98C6F4" w:rsidR="00AD3F43" w:rsidRPr="00DA3367" w:rsidRDefault="0094492A" w:rsidP="00DA3367">
      <w:pPr>
        <w:pStyle w:val="PABullet1"/>
        <w:numPr>
          <w:ilvl w:val="0"/>
          <w:numId w:val="9"/>
        </w:numPr>
        <w:spacing w:before="240" w:after="240"/>
        <w:ind w:left="720"/>
        <w:rPr>
          <w:rStyle w:val="Hyperlink"/>
          <w:rFonts w:ascii="Aptos" w:hAnsi="Aptos" w:cs="Calibri Light"/>
          <w:i/>
          <w:iCs/>
          <w:color w:val="000000" w:themeColor="text1"/>
        </w:rPr>
      </w:pPr>
      <w:hyperlink r:id="rId51" w:history="1">
        <w:r w:rsidRPr="00DA3367">
          <w:rPr>
            <w:rStyle w:val="Hyperlink"/>
            <w:rFonts w:ascii="Aptos" w:hAnsi="Aptos" w:cs="Calibri Light"/>
          </w:rPr>
          <w:t>815-10-55</w:t>
        </w:r>
      </w:hyperlink>
      <w:r w:rsidR="00AC4AD8" w:rsidRPr="00DA3367">
        <w:rPr>
          <w:rStyle w:val="Hyperlink"/>
          <w:rFonts w:ascii="Aptos" w:hAnsi="Aptos" w:cs="Calibri Light"/>
          <w:i/>
          <w:iCs/>
          <w:color w:val="000000" w:themeColor="text1"/>
          <w:u w:val="none"/>
        </w:rPr>
        <w:t xml:space="preserve">, Derivatives and Hedging </w:t>
      </w:r>
      <w:r w:rsidR="008376CD" w:rsidRPr="00F85557">
        <w:rPr>
          <w:rFonts w:ascii="Aptos" w:hAnsi="Aptos" w:cs="Calibri Light"/>
          <w:i/>
          <w:iCs/>
          <w:lang w:val="en-US"/>
        </w:rPr>
        <w:t>—</w:t>
      </w:r>
      <w:r w:rsidR="00AC4AD8" w:rsidRPr="00DA3367">
        <w:rPr>
          <w:rStyle w:val="Hyperlink"/>
          <w:rFonts w:ascii="Aptos" w:hAnsi="Aptos" w:cs="Calibri Light"/>
          <w:i/>
          <w:iCs/>
          <w:color w:val="000000" w:themeColor="text1"/>
          <w:u w:val="none"/>
        </w:rPr>
        <w:t xml:space="preserve"> Overall </w:t>
      </w:r>
      <w:r w:rsidR="008376CD" w:rsidRPr="00F85557">
        <w:rPr>
          <w:rFonts w:ascii="Aptos" w:hAnsi="Aptos" w:cs="Calibri Light"/>
          <w:i/>
          <w:iCs/>
          <w:lang w:val="en-US"/>
        </w:rPr>
        <w:t>—</w:t>
      </w:r>
      <w:r w:rsidR="00794522" w:rsidRPr="00DA3367">
        <w:rPr>
          <w:rStyle w:val="Hyperlink"/>
          <w:rFonts w:ascii="Aptos" w:hAnsi="Aptos" w:cs="Calibri Light"/>
          <w:i/>
          <w:iCs/>
          <w:color w:val="000000" w:themeColor="text1"/>
          <w:u w:val="none"/>
        </w:rPr>
        <w:t xml:space="preserve"> Implementation Guidance and Illustrations</w:t>
      </w:r>
    </w:p>
    <w:p w14:paraId="2DD6071B" w14:textId="66C71DC6" w:rsidR="0094492A" w:rsidRPr="00DA3367" w:rsidRDefault="0094492A" w:rsidP="00DA3367">
      <w:pPr>
        <w:pStyle w:val="PABullet1"/>
        <w:numPr>
          <w:ilvl w:val="0"/>
          <w:numId w:val="9"/>
        </w:numPr>
        <w:spacing w:before="240" w:after="240"/>
        <w:ind w:left="720"/>
        <w:rPr>
          <w:rStyle w:val="Hyperlink"/>
          <w:rFonts w:ascii="Aptos" w:hAnsi="Aptos" w:cs="Calibri Light"/>
          <w:i/>
          <w:iCs/>
          <w:color w:val="000000" w:themeColor="text1"/>
        </w:rPr>
      </w:pPr>
      <w:hyperlink r:id="rId52" w:history="1">
        <w:r w:rsidRPr="00DA3367">
          <w:rPr>
            <w:rStyle w:val="Hyperlink"/>
            <w:rFonts w:ascii="Aptos" w:hAnsi="Aptos" w:cs="Calibri Light"/>
          </w:rPr>
          <w:t>815-10-65</w:t>
        </w:r>
      </w:hyperlink>
      <w:r w:rsidR="00AC4AD8" w:rsidRPr="00DA3367">
        <w:rPr>
          <w:rStyle w:val="Hyperlink"/>
          <w:rFonts w:ascii="Aptos" w:hAnsi="Aptos" w:cs="Calibri Light"/>
          <w:i/>
          <w:iCs/>
          <w:color w:val="000000" w:themeColor="text1"/>
          <w:u w:val="none"/>
        </w:rPr>
        <w:t xml:space="preserve">, Derivatives and Hedging </w:t>
      </w:r>
      <w:r w:rsidR="008376CD" w:rsidRPr="00F85557">
        <w:rPr>
          <w:rFonts w:ascii="Aptos" w:hAnsi="Aptos" w:cs="Calibri Light"/>
          <w:i/>
          <w:iCs/>
          <w:lang w:val="en-US"/>
        </w:rPr>
        <w:t>—</w:t>
      </w:r>
      <w:r w:rsidR="00AC4AD8" w:rsidRPr="00DA3367">
        <w:rPr>
          <w:rStyle w:val="Hyperlink"/>
          <w:rFonts w:ascii="Aptos" w:hAnsi="Aptos" w:cs="Calibri Light"/>
          <w:i/>
          <w:iCs/>
          <w:color w:val="000000" w:themeColor="text1"/>
          <w:u w:val="none"/>
        </w:rPr>
        <w:t xml:space="preserve"> Overall </w:t>
      </w:r>
      <w:r w:rsidR="008376CD" w:rsidRPr="00F85557">
        <w:rPr>
          <w:rFonts w:ascii="Aptos" w:hAnsi="Aptos" w:cs="Calibri Light"/>
          <w:i/>
          <w:iCs/>
          <w:lang w:val="en-US"/>
        </w:rPr>
        <w:t>—</w:t>
      </w:r>
      <w:r w:rsidR="004C7358" w:rsidRPr="00DA3367">
        <w:rPr>
          <w:rStyle w:val="Hyperlink"/>
          <w:rFonts w:ascii="Aptos" w:hAnsi="Aptos" w:cs="Calibri Light"/>
          <w:i/>
          <w:iCs/>
          <w:color w:val="000000" w:themeColor="text1"/>
          <w:u w:val="none"/>
        </w:rPr>
        <w:t xml:space="preserve"> Transition and Open Effective Date Information</w:t>
      </w:r>
    </w:p>
    <w:p w14:paraId="40FBDB09" w14:textId="2C8CB0CC" w:rsidR="00AC4AD8" w:rsidRPr="00DA3367" w:rsidRDefault="00AC4AD8" w:rsidP="00DA3367">
      <w:pPr>
        <w:pStyle w:val="PABullet1"/>
        <w:numPr>
          <w:ilvl w:val="0"/>
          <w:numId w:val="9"/>
        </w:numPr>
        <w:spacing w:before="240" w:after="240"/>
        <w:ind w:left="720"/>
        <w:rPr>
          <w:rStyle w:val="Hyperlink"/>
          <w:rFonts w:ascii="Aptos" w:hAnsi="Aptos" w:cs="Calibri Light"/>
          <w:i/>
          <w:iCs/>
          <w:color w:val="000000" w:themeColor="text1"/>
        </w:rPr>
      </w:pPr>
      <w:hyperlink r:id="rId53" w:history="1">
        <w:r w:rsidRPr="00DA3367">
          <w:rPr>
            <w:rStyle w:val="Hyperlink"/>
            <w:rFonts w:ascii="Aptos" w:hAnsi="Aptos" w:cs="Calibri Light"/>
          </w:rPr>
          <w:t>815-20-55</w:t>
        </w:r>
      </w:hyperlink>
      <w:r w:rsidRPr="00DA3367">
        <w:rPr>
          <w:rStyle w:val="Hyperlink"/>
          <w:rFonts w:ascii="Aptos" w:hAnsi="Aptos" w:cs="Calibri Light"/>
          <w:color w:val="000000" w:themeColor="text1"/>
          <w:u w:val="none"/>
        </w:rPr>
        <w:t>,</w:t>
      </w:r>
      <w:r w:rsidRPr="00DA3367">
        <w:rPr>
          <w:rStyle w:val="Hyperlink"/>
          <w:rFonts w:ascii="Aptos" w:hAnsi="Aptos" w:cs="Calibri Light"/>
          <w:i/>
          <w:iCs/>
          <w:color w:val="000000" w:themeColor="text1"/>
          <w:u w:val="none"/>
        </w:rPr>
        <w:t xml:space="preserve"> Derivatives and Hedging </w:t>
      </w:r>
      <w:r w:rsidR="008376CD" w:rsidRPr="00F85557">
        <w:rPr>
          <w:rFonts w:ascii="Aptos" w:hAnsi="Aptos" w:cs="Calibri Light"/>
          <w:i/>
          <w:iCs/>
          <w:lang w:val="en-US"/>
        </w:rPr>
        <w:t>—</w:t>
      </w:r>
      <w:r w:rsidRPr="00DA3367">
        <w:rPr>
          <w:rStyle w:val="Hyperlink"/>
          <w:rFonts w:ascii="Aptos" w:hAnsi="Aptos" w:cs="Calibri Light"/>
          <w:i/>
          <w:iCs/>
          <w:color w:val="000000" w:themeColor="text1"/>
          <w:u w:val="none"/>
        </w:rPr>
        <w:t xml:space="preserve"> Hedging </w:t>
      </w:r>
      <w:r w:rsidR="008376CD" w:rsidRPr="00F85557">
        <w:rPr>
          <w:rFonts w:ascii="Aptos" w:hAnsi="Aptos" w:cs="Calibri Light"/>
          <w:i/>
          <w:iCs/>
          <w:lang w:val="en-US"/>
        </w:rPr>
        <w:t>—</w:t>
      </w:r>
      <w:r w:rsidRPr="00DA3367">
        <w:rPr>
          <w:rStyle w:val="Hyperlink"/>
          <w:rFonts w:ascii="Aptos" w:hAnsi="Aptos" w:cs="Calibri Light"/>
          <w:i/>
          <w:iCs/>
          <w:color w:val="000000" w:themeColor="text1"/>
          <w:u w:val="none"/>
        </w:rPr>
        <w:t xml:space="preserve"> General </w:t>
      </w:r>
      <w:r w:rsidR="008376CD" w:rsidRPr="00F85557">
        <w:rPr>
          <w:rFonts w:ascii="Aptos" w:hAnsi="Aptos" w:cs="Calibri Light"/>
          <w:i/>
          <w:iCs/>
          <w:lang w:val="en-US"/>
        </w:rPr>
        <w:t>—</w:t>
      </w:r>
      <w:r w:rsidR="00B97315" w:rsidRPr="00DA3367">
        <w:rPr>
          <w:rStyle w:val="Hyperlink"/>
          <w:rFonts w:ascii="Aptos" w:hAnsi="Aptos" w:cs="Calibri Light"/>
          <w:i/>
          <w:iCs/>
          <w:color w:val="000000" w:themeColor="text1"/>
          <w:u w:val="none"/>
        </w:rPr>
        <w:t xml:space="preserve"> Implementation Guidance and Illustrations</w:t>
      </w:r>
    </w:p>
    <w:p w14:paraId="0BEED040" w14:textId="77777777" w:rsidR="00186B91" w:rsidRPr="00DA3367" w:rsidRDefault="00186B91" w:rsidP="00186B91">
      <w:pPr>
        <w:spacing w:before="240"/>
        <w:ind w:left="360"/>
        <w:rPr>
          <w:rFonts w:ascii="Aptos" w:hAnsi="Aptos" w:cs="Calibri Light"/>
        </w:rPr>
      </w:pPr>
      <w:r w:rsidRPr="00DA3367">
        <w:rPr>
          <w:rFonts w:ascii="Aptos" w:hAnsi="Aptos" w:cs="Calibri Light"/>
        </w:rPr>
        <w:t xml:space="preserve">As a result of this ASU, the following sections have </w:t>
      </w:r>
      <w:proofErr w:type="gramStart"/>
      <w:r w:rsidRPr="00DA3367">
        <w:rPr>
          <w:rFonts w:ascii="Aptos" w:hAnsi="Aptos" w:cs="Calibri Light"/>
        </w:rPr>
        <w:t>been updated</w:t>
      </w:r>
      <w:proofErr w:type="gramEnd"/>
      <w:r w:rsidRPr="00DA3367">
        <w:rPr>
          <w:rFonts w:ascii="Aptos" w:hAnsi="Aptos" w:cs="Calibri Light"/>
        </w:rPr>
        <w:t xml:space="preserve"> in the U.S. GAAP Checklist:</w:t>
      </w:r>
    </w:p>
    <w:p w14:paraId="6224E0C7" w14:textId="0E54F637" w:rsidR="00A21228" w:rsidRPr="00DA3367" w:rsidRDefault="00A21228" w:rsidP="00DA3367">
      <w:pPr>
        <w:pStyle w:val="PABullet1"/>
        <w:numPr>
          <w:ilvl w:val="0"/>
          <w:numId w:val="9"/>
        </w:numPr>
        <w:spacing w:before="240" w:after="240"/>
        <w:ind w:left="720"/>
        <w:rPr>
          <w:rStyle w:val="Hyperlink"/>
          <w:rFonts w:ascii="Aptos" w:hAnsi="Aptos" w:cs="Calibri Light"/>
          <w:color w:val="000000" w:themeColor="text1"/>
        </w:rPr>
      </w:pPr>
      <w:hyperlink r:id="rId54" w:history="1">
        <w:r w:rsidRPr="00DA3367">
          <w:rPr>
            <w:rStyle w:val="Hyperlink"/>
            <w:rFonts w:ascii="Aptos" w:hAnsi="Aptos" w:cs="Calibri Light"/>
          </w:rPr>
          <w:t>815-10-25</w:t>
        </w:r>
      </w:hyperlink>
      <w:r w:rsidRPr="00DA3367">
        <w:rPr>
          <w:rStyle w:val="Hyperlink"/>
          <w:rFonts w:ascii="Aptos" w:hAnsi="Aptos" w:cs="Calibri Light"/>
          <w:i/>
          <w:iCs/>
          <w:color w:val="000000" w:themeColor="text1"/>
          <w:u w:val="none"/>
        </w:rPr>
        <w:t xml:space="preserve">, </w:t>
      </w:r>
      <w:r w:rsidR="00A62F49" w:rsidRPr="00DA3367">
        <w:rPr>
          <w:rStyle w:val="Hyperlink"/>
          <w:rFonts w:ascii="Aptos" w:hAnsi="Aptos" w:cs="Calibri Light"/>
          <w:i/>
          <w:iCs/>
          <w:color w:val="000000" w:themeColor="text1"/>
          <w:u w:val="none"/>
        </w:rPr>
        <w:t xml:space="preserve">Derivatives and Hedging </w:t>
      </w:r>
      <w:r w:rsidR="008376CD" w:rsidRPr="00F85557">
        <w:rPr>
          <w:rFonts w:ascii="Aptos" w:hAnsi="Aptos" w:cs="Calibri Light"/>
          <w:i/>
          <w:iCs/>
          <w:lang w:val="en-US"/>
        </w:rPr>
        <w:t>—</w:t>
      </w:r>
      <w:r w:rsidR="00A62F49" w:rsidRPr="00DA3367">
        <w:rPr>
          <w:rStyle w:val="Hyperlink"/>
          <w:rFonts w:ascii="Aptos" w:hAnsi="Aptos" w:cs="Calibri Light"/>
          <w:i/>
          <w:iCs/>
          <w:color w:val="000000" w:themeColor="text1"/>
          <w:u w:val="none"/>
        </w:rPr>
        <w:t xml:space="preserve"> Overall </w:t>
      </w:r>
      <w:r w:rsidR="008376CD" w:rsidRPr="00F85557">
        <w:rPr>
          <w:rFonts w:ascii="Aptos" w:hAnsi="Aptos" w:cs="Calibri Light"/>
          <w:i/>
          <w:iCs/>
          <w:lang w:val="en-US"/>
        </w:rPr>
        <w:t>—</w:t>
      </w:r>
      <w:r w:rsidR="00A62F49" w:rsidRPr="00DA3367">
        <w:rPr>
          <w:rStyle w:val="Hyperlink"/>
          <w:rFonts w:ascii="Aptos" w:hAnsi="Aptos" w:cs="Calibri Light"/>
          <w:i/>
          <w:iCs/>
          <w:color w:val="000000" w:themeColor="text1"/>
          <w:u w:val="none"/>
        </w:rPr>
        <w:t xml:space="preserve"> Recognition</w:t>
      </w:r>
    </w:p>
    <w:p w14:paraId="73CE0F34" w14:textId="2FC3BC2A" w:rsidR="00186B91" w:rsidRPr="00DA3367" w:rsidRDefault="00117F3F" w:rsidP="00DA3367">
      <w:pPr>
        <w:pStyle w:val="PABullet1"/>
        <w:numPr>
          <w:ilvl w:val="0"/>
          <w:numId w:val="9"/>
        </w:numPr>
        <w:spacing w:before="240" w:after="240"/>
        <w:ind w:left="720"/>
        <w:rPr>
          <w:rStyle w:val="Hyperlink"/>
          <w:rFonts w:ascii="Aptos" w:hAnsi="Aptos" w:cs="Calibri Light"/>
          <w:color w:val="000000" w:themeColor="text1"/>
        </w:rPr>
      </w:pPr>
      <w:hyperlink r:id="rId55" w:history="1">
        <w:r w:rsidRPr="00DA3367">
          <w:rPr>
            <w:rStyle w:val="Hyperlink"/>
            <w:rFonts w:ascii="Aptos" w:hAnsi="Aptos" w:cs="Calibri Light"/>
          </w:rPr>
          <w:t>815-20-25</w:t>
        </w:r>
      </w:hyperlink>
      <w:r w:rsidRPr="00DA3367">
        <w:rPr>
          <w:rStyle w:val="Hyperlink"/>
          <w:rFonts w:ascii="Aptos" w:hAnsi="Aptos" w:cs="Calibri Light"/>
          <w:i/>
          <w:iCs/>
          <w:color w:val="000000" w:themeColor="text1"/>
          <w:u w:val="none"/>
        </w:rPr>
        <w:t xml:space="preserve">, Derivatives and Hedging </w:t>
      </w:r>
      <w:r w:rsidR="008376CD" w:rsidRPr="00F85557">
        <w:rPr>
          <w:rFonts w:ascii="Aptos" w:hAnsi="Aptos" w:cs="Calibri Light"/>
          <w:i/>
          <w:iCs/>
          <w:lang w:val="en-US"/>
        </w:rPr>
        <w:t>—</w:t>
      </w:r>
      <w:r w:rsidRPr="00DA3367">
        <w:rPr>
          <w:rStyle w:val="Hyperlink"/>
          <w:rFonts w:ascii="Aptos" w:hAnsi="Aptos" w:cs="Calibri Light"/>
          <w:i/>
          <w:iCs/>
          <w:color w:val="000000" w:themeColor="text1"/>
          <w:u w:val="none"/>
        </w:rPr>
        <w:t xml:space="preserve"> Hedging </w:t>
      </w:r>
      <w:r w:rsidR="008376CD" w:rsidRPr="00F85557">
        <w:rPr>
          <w:rFonts w:ascii="Aptos" w:hAnsi="Aptos" w:cs="Calibri Light"/>
          <w:i/>
          <w:iCs/>
          <w:lang w:val="en-US"/>
        </w:rPr>
        <w:t>—</w:t>
      </w:r>
      <w:r w:rsidRPr="00DA3367">
        <w:rPr>
          <w:rStyle w:val="Hyperlink"/>
          <w:rFonts w:ascii="Aptos" w:hAnsi="Aptos" w:cs="Calibri Light"/>
          <w:i/>
          <w:iCs/>
          <w:color w:val="000000" w:themeColor="text1"/>
          <w:u w:val="none"/>
        </w:rPr>
        <w:t xml:space="preserve"> General </w:t>
      </w:r>
      <w:r w:rsidR="008376CD" w:rsidRPr="00F85557">
        <w:rPr>
          <w:rFonts w:ascii="Aptos" w:hAnsi="Aptos" w:cs="Calibri Light"/>
          <w:i/>
          <w:iCs/>
          <w:lang w:val="en-US"/>
        </w:rPr>
        <w:t>—</w:t>
      </w:r>
      <w:r w:rsidR="008376CD">
        <w:rPr>
          <w:rFonts w:ascii="Aptos" w:hAnsi="Aptos" w:cs="Calibri Light"/>
          <w:i/>
          <w:iCs/>
          <w:lang w:val="en-US"/>
        </w:rPr>
        <w:t xml:space="preserve"> </w:t>
      </w:r>
      <w:r w:rsidRPr="00DA3367">
        <w:rPr>
          <w:rStyle w:val="Hyperlink"/>
          <w:rFonts w:ascii="Aptos" w:hAnsi="Aptos" w:cs="Calibri Light"/>
          <w:i/>
          <w:iCs/>
          <w:color w:val="000000" w:themeColor="text1"/>
          <w:u w:val="none"/>
        </w:rPr>
        <w:t>Recognition</w:t>
      </w:r>
    </w:p>
    <w:p w14:paraId="3759A57C" w14:textId="77777777" w:rsidR="00E24FF8" w:rsidRDefault="00E24FF8" w:rsidP="00E24FF8">
      <w:pPr>
        <w:pStyle w:val="PABullet1"/>
        <w:spacing w:before="240" w:after="240"/>
        <w:rPr>
          <w:rFonts w:ascii="Calibri Light" w:eastAsia="Verdana" w:hAnsi="Calibri Light" w:cs="Calibri Light"/>
          <w:i/>
          <w:iCs/>
          <w:color w:val="auto"/>
          <w:szCs w:val="22"/>
          <w:shd w:val="clear" w:color="auto" w:fill="auto"/>
          <w:lang w:val="en-US"/>
        </w:rPr>
      </w:pPr>
    </w:p>
    <w:p w14:paraId="501E5A0B" w14:textId="77777777" w:rsidR="00E24FF8" w:rsidRDefault="00E24FF8" w:rsidP="00E24FF8">
      <w:pPr>
        <w:pStyle w:val="PABullet1"/>
        <w:spacing w:before="240" w:after="240"/>
        <w:rPr>
          <w:rFonts w:ascii="Calibri Light" w:eastAsia="Verdana" w:hAnsi="Calibri Light" w:cs="Calibri Light"/>
          <w:i/>
          <w:iCs/>
          <w:color w:val="auto"/>
          <w:szCs w:val="22"/>
          <w:shd w:val="clear" w:color="auto" w:fill="auto"/>
          <w:lang w:val="en-US"/>
        </w:rPr>
      </w:pPr>
    </w:p>
    <w:p w14:paraId="246790E0" w14:textId="77777777" w:rsidR="00E24FF8" w:rsidRDefault="00E24FF8" w:rsidP="00E24FF8">
      <w:pPr>
        <w:pStyle w:val="PABullet1"/>
        <w:spacing w:before="240" w:after="240"/>
        <w:rPr>
          <w:rFonts w:ascii="Calibri Light" w:eastAsia="Verdana" w:hAnsi="Calibri Light" w:cs="Calibri Light"/>
          <w:i/>
          <w:iCs/>
          <w:color w:val="auto"/>
          <w:szCs w:val="22"/>
          <w:shd w:val="clear" w:color="auto" w:fill="auto"/>
          <w:lang w:val="en-US"/>
        </w:rPr>
      </w:pPr>
    </w:p>
    <w:p w14:paraId="77B7E920" w14:textId="77777777" w:rsidR="00E24FF8" w:rsidRDefault="00E24FF8" w:rsidP="00E24FF8">
      <w:pPr>
        <w:pStyle w:val="PABullet1"/>
        <w:spacing w:before="240" w:after="240"/>
        <w:rPr>
          <w:rFonts w:ascii="Calibri Light" w:eastAsia="Verdana" w:hAnsi="Calibri Light" w:cs="Calibri Light"/>
          <w:i/>
          <w:iCs/>
          <w:color w:val="auto"/>
          <w:szCs w:val="22"/>
          <w:shd w:val="clear" w:color="auto" w:fill="auto"/>
          <w:lang w:val="en-US"/>
        </w:rPr>
      </w:pPr>
    </w:p>
    <w:p w14:paraId="677A9320" w14:textId="77777777" w:rsidR="00E24FF8" w:rsidRDefault="00E24FF8" w:rsidP="00E24FF8">
      <w:pPr>
        <w:pStyle w:val="PABullet1"/>
        <w:spacing w:before="240" w:after="240"/>
        <w:rPr>
          <w:rFonts w:ascii="Calibri Light" w:eastAsia="Verdana" w:hAnsi="Calibri Light" w:cs="Calibri Light"/>
          <w:i/>
          <w:iCs/>
          <w:color w:val="auto"/>
          <w:szCs w:val="22"/>
          <w:shd w:val="clear" w:color="auto" w:fill="auto"/>
          <w:lang w:val="en-US"/>
        </w:rPr>
      </w:pPr>
    </w:p>
    <w:p w14:paraId="2FBF3A2C" w14:textId="77777777" w:rsidR="00E24FF8" w:rsidRDefault="00E24FF8" w:rsidP="00E24FF8">
      <w:pPr>
        <w:pStyle w:val="PABullet1"/>
        <w:spacing w:before="240" w:after="240"/>
        <w:rPr>
          <w:rFonts w:ascii="Calibri Light" w:eastAsia="Verdana" w:hAnsi="Calibri Light" w:cs="Calibri Light"/>
          <w:i/>
          <w:iCs/>
          <w:color w:val="auto"/>
          <w:szCs w:val="22"/>
          <w:shd w:val="clear" w:color="auto" w:fill="auto"/>
          <w:lang w:val="en-US"/>
        </w:rPr>
      </w:pPr>
    </w:p>
    <w:p w14:paraId="5E73F2B9" w14:textId="77777777" w:rsidR="00E24FF8" w:rsidRDefault="00E24FF8" w:rsidP="00E24FF8">
      <w:pPr>
        <w:pStyle w:val="PABullet1"/>
        <w:spacing w:before="240" w:after="240"/>
        <w:rPr>
          <w:rFonts w:ascii="Calibri Light" w:eastAsia="Verdana" w:hAnsi="Calibri Light" w:cs="Calibri Light"/>
          <w:i/>
          <w:iCs/>
          <w:color w:val="auto"/>
          <w:szCs w:val="22"/>
          <w:shd w:val="clear" w:color="auto" w:fill="auto"/>
          <w:lang w:val="en-US"/>
        </w:rPr>
      </w:pPr>
    </w:p>
    <w:p w14:paraId="31A5868B" w14:textId="77777777" w:rsidR="00E24FF8" w:rsidRDefault="00E24FF8" w:rsidP="00E24FF8">
      <w:pPr>
        <w:pStyle w:val="PABullet1"/>
        <w:spacing w:before="240" w:after="240"/>
        <w:rPr>
          <w:rFonts w:ascii="Calibri Light" w:eastAsia="Verdana" w:hAnsi="Calibri Light" w:cs="Calibri Light"/>
          <w:i/>
          <w:iCs/>
          <w:color w:val="auto"/>
          <w:szCs w:val="22"/>
          <w:shd w:val="clear" w:color="auto" w:fill="auto"/>
          <w:lang w:val="en-US"/>
        </w:rPr>
      </w:pPr>
    </w:p>
    <w:p w14:paraId="1E8AA5B6" w14:textId="77777777" w:rsidR="00E24FF8" w:rsidRPr="00DA3367" w:rsidRDefault="00E24FF8" w:rsidP="00E24FF8">
      <w:pPr>
        <w:pStyle w:val="PABullet1"/>
        <w:spacing w:before="240" w:after="240"/>
        <w:rPr>
          <w:rFonts w:ascii="Calibri Light" w:hAnsi="Calibri Light" w:cs="Calibri Light"/>
          <w:i/>
          <w:iCs/>
        </w:rPr>
      </w:pPr>
    </w:p>
    <w:p w14:paraId="090D56A2" w14:textId="77777777" w:rsidR="00374F61" w:rsidRDefault="00374F61" w:rsidP="00F70CD0">
      <w:pPr>
        <w:spacing w:line="180" w:lineRule="atLeast"/>
        <w:ind w:right="5386"/>
        <w:rPr>
          <w:rFonts w:ascii="Aptos" w:hAnsi="Aptos" w:cs="Calibri Light"/>
          <w:b/>
          <w:sz w:val="16"/>
          <w:szCs w:val="16"/>
        </w:rPr>
      </w:pPr>
    </w:p>
    <w:p w14:paraId="1E6D9DA9" w14:textId="77777777" w:rsidR="00374F61" w:rsidRDefault="00374F61" w:rsidP="00F70CD0">
      <w:pPr>
        <w:spacing w:line="180" w:lineRule="atLeast"/>
        <w:ind w:right="5386"/>
        <w:rPr>
          <w:rFonts w:ascii="Aptos" w:hAnsi="Aptos" w:cs="Calibri Light"/>
          <w:b/>
          <w:sz w:val="16"/>
          <w:szCs w:val="16"/>
        </w:rPr>
      </w:pPr>
    </w:p>
    <w:p w14:paraId="12A79AFF" w14:textId="77777777" w:rsidR="00374F61" w:rsidRDefault="00374F61" w:rsidP="00F70CD0">
      <w:pPr>
        <w:spacing w:line="180" w:lineRule="atLeast"/>
        <w:ind w:right="5386"/>
        <w:rPr>
          <w:rFonts w:ascii="Aptos" w:hAnsi="Aptos" w:cs="Calibri Light"/>
          <w:b/>
          <w:sz w:val="16"/>
          <w:szCs w:val="16"/>
        </w:rPr>
      </w:pPr>
    </w:p>
    <w:p w14:paraId="5276A324" w14:textId="77777777" w:rsidR="00374F61" w:rsidRDefault="00374F61" w:rsidP="00F70CD0">
      <w:pPr>
        <w:spacing w:line="180" w:lineRule="atLeast"/>
        <w:ind w:right="5386"/>
        <w:rPr>
          <w:rFonts w:ascii="Aptos" w:hAnsi="Aptos" w:cs="Calibri Light"/>
          <w:b/>
          <w:sz w:val="16"/>
          <w:szCs w:val="16"/>
        </w:rPr>
      </w:pPr>
    </w:p>
    <w:p w14:paraId="16F4DBE5" w14:textId="77777777" w:rsidR="00374F61" w:rsidRDefault="00374F61" w:rsidP="00F70CD0">
      <w:pPr>
        <w:spacing w:line="180" w:lineRule="atLeast"/>
        <w:ind w:right="5386"/>
        <w:rPr>
          <w:rFonts w:ascii="Aptos" w:hAnsi="Aptos" w:cs="Calibri Light"/>
          <w:b/>
          <w:sz w:val="16"/>
          <w:szCs w:val="16"/>
        </w:rPr>
      </w:pPr>
    </w:p>
    <w:p w14:paraId="25ADE536" w14:textId="77777777" w:rsidR="00374F61" w:rsidRDefault="00374F61" w:rsidP="00F70CD0">
      <w:pPr>
        <w:spacing w:line="180" w:lineRule="atLeast"/>
        <w:ind w:right="5386"/>
        <w:rPr>
          <w:rFonts w:ascii="Aptos" w:hAnsi="Aptos" w:cs="Calibri Light"/>
          <w:b/>
          <w:sz w:val="16"/>
          <w:szCs w:val="16"/>
        </w:rPr>
      </w:pPr>
    </w:p>
    <w:p w14:paraId="5C14A279" w14:textId="77777777" w:rsidR="00374F61" w:rsidRDefault="00374F61" w:rsidP="00F70CD0">
      <w:pPr>
        <w:spacing w:line="180" w:lineRule="atLeast"/>
        <w:ind w:right="5386"/>
        <w:rPr>
          <w:rFonts w:ascii="Aptos" w:hAnsi="Aptos" w:cs="Calibri Light"/>
          <w:b/>
          <w:sz w:val="16"/>
          <w:szCs w:val="16"/>
        </w:rPr>
      </w:pPr>
    </w:p>
    <w:p w14:paraId="770B274B" w14:textId="77777777" w:rsidR="00374F61" w:rsidRDefault="00374F61" w:rsidP="00F70CD0">
      <w:pPr>
        <w:spacing w:line="180" w:lineRule="atLeast"/>
        <w:ind w:right="5386"/>
        <w:rPr>
          <w:rFonts w:ascii="Aptos" w:hAnsi="Aptos" w:cs="Calibri Light"/>
          <w:b/>
          <w:sz w:val="16"/>
          <w:szCs w:val="16"/>
        </w:rPr>
      </w:pPr>
    </w:p>
    <w:p w14:paraId="55A136E4" w14:textId="77777777" w:rsidR="00374F61" w:rsidRDefault="00374F61" w:rsidP="00F70CD0">
      <w:pPr>
        <w:spacing w:line="180" w:lineRule="atLeast"/>
        <w:ind w:right="5386"/>
        <w:rPr>
          <w:rFonts w:ascii="Aptos" w:hAnsi="Aptos" w:cs="Calibri Light"/>
          <w:b/>
          <w:sz w:val="16"/>
          <w:szCs w:val="16"/>
        </w:rPr>
      </w:pPr>
    </w:p>
    <w:p w14:paraId="77E0817B" w14:textId="77777777" w:rsidR="00374F61" w:rsidRDefault="00374F61" w:rsidP="00F70CD0">
      <w:pPr>
        <w:spacing w:line="180" w:lineRule="atLeast"/>
        <w:ind w:right="5386"/>
        <w:rPr>
          <w:rFonts w:ascii="Aptos" w:hAnsi="Aptos" w:cs="Calibri Light"/>
          <w:b/>
          <w:sz w:val="16"/>
          <w:szCs w:val="16"/>
        </w:rPr>
      </w:pPr>
    </w:p>
    <w:p w14:paraId="33B37439" w14:textId="77777777" w:rsidR="00EB245C" w:rsidRPr="00057262" w:rsidRDefault="00031ADF" w:rsidP="00F70CD0">
      <w:pPr>
        <w:spacing w:line="180" w:lineRule="atLeast"/>
        <w:ind w:right="5386"/>
        <w:rPr>
          <w:rFonts w:ascii="Aptos" w:hAnsi="Aptos" w:cs="Calibri Light"/>
          <w:b/>
          <w:sz w:val="16"/>
          <w:szCs w:val="16"/>
        </w:rPr>
      </w:pPr>
      <w:r w:rsidRPr="00057262">
        <w:rPr>
          <w:rFonts w:ascii="Aptos" w:hAnsi="Aptos" w:cs="Calibri Light"/>
          <w:noProof/>
          <w:sz w:val="20"/>
          <w:szCs w:val="20"/>
        </w:rPr>
        <w:drawing>
          <wp:anchor distT="0" distB="0" distL="114300" distR="114300" simplePos="0" relativeHeight="251658241" behindDoc="1" locked="0" layoutInCell="1" allowOverlap="1" wp14:anchorId="0A927EED" wp14:editId="36BE1ABE">
            <wp:simplePos x="0" y="0"/>
            <wp:positionH relativeFrom="margin">
              <wp:align>left</wp:align>
            </wp:positionH>
            <wp:positionV relativeFrom="paragraph">
              <wp:posOffset>4179</wp:posOffset>
            </wp:positionV>
            <wp:extent cx="1828800" cy="351790"/>
            <wp:effectExtent l="0" t="0" r="0" b="0"/>
            <wp:wrapTight wrapText="bothSides">
              <wp:wrapPolygon edited="0">
                <wp:start x="0" y="0"/>
                <wp:lineTo x="0" y="19884"/>
                <wp:lineTo x="21375" y="19884"/>
                <wp:lineTo x="21375" y="7018"/>
                <wp:lineTo x="168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351790"/>
                    </a:xfrm>
                    <a:prstGeom prst="rect">
                      <a:avLst/>
                    </a:prstGeom>
                    <a:noFill/>
                    <a:ln>
                      <a:noFill/>
                    </a:ln>
                  </pic:spPr>
                </pic:pic>
              </a:graphicData>
            </a:graphic>
          </wp:anchor>
        </w:drawing>
      </w:r>
    </w:p>
    <w:p w14:paraId="4082866F" w14:textId="77777777" w:rsidR="00EB245C" w:rsidRPr="00057262" w:rsidRDefault="00EB245C" w:rsidP="00F70CD0">
      <w:pPr>
        <w:spacing w:line="180" w:lineRule="atLeast"/>
        <w:ind w:right="5386"/>
        <w:rPr>
          <w:rFonts w:ascii="Aptos" w:hAnsi="Aptos" w:cs="Calibri Light"/>
          <w:b/>
          <w:sz w:val="16"/>
          <w:szCs w:val="16"/>
        </w:rPr>
      </w:pPr>
    </w:p>
    <w:p w14:paraId="7520FAAC" w14:textId="6A6C34E0" w:rsidR="000E7C6E" w:rsidRPr="00057262" w:rsidRDefault="000E7C6E" w:rsidP="00F70CD0">
      <w:pPr>
        <w:spacing w:line="180" w:lineRule="atLeast"/>
        <w:ind w:right="5386"/>
        <w:rPr>
          <w:rFonts w:ascii="Aptos" w:hAnsi="Aptos" w:cs="Calibri Light"/>
          <w:b/>
          <w:sz w:val="16"/>
          <w:szCs w:val="16"/>
        </w:rPr>
      </w:pPr>
      <w:r w:rsidRPr="00057262">
        <w:rPr>
          <w:rFonts w:ascii="Aptos" w:hAnsi="Aptos" w:cs="Calibri Light"/>
          <w:b/>
          <w:sz w:val="16"/>
          <w:szCs w:val="16"/>
        </w:rPr>
        <w:t>About Deloitte</w:t>
      </w:r>
    </w:p>
    <w:p w14:paraId="0D3D9791" w14:textId="7433A818" w:rsidR="000E7C6E" w:rsidRPr="00057262" w:rsidRDefault="00F73AE9" w:rsidP="00F70CD0">
      <w:pPr>
        <w:spacing w:line="180" w:lineRule="atLeast"/>
        <w:ind w:right="2700"/>
        <w:rPr>
          <w:rFonts w:ascii="Aptos" w:hAnsi="Aptos" w:cs="Calibri Light"/>
          <w:sz w:val="16"/>
          <w:szCs w:val="16"/>
        </w:rPr>
      </w:pPr>
      <w:r w:rsidRPr="00057262">
        <w:rPr>
          <w:rFonts w:ascii="Aptos" w:hAnsi="Aptos" w:cs="Calibri Light"/>
          <w:sz w:val="16"/>
          <w:szCs w:val="16"/>
        </w:rPr>
        <w:t xml:space="preserve">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member firms of DTTL, their related entities that operate using the “Deloitte” name in the United States and their respective affiliates. Certain services may not be available to attest clients under the rules and regulations of public accounting. Please see </w:t>
      </w:r>
      <w:hyperlink r:id="rId56" w:history="1">
        <w:r w:rsidR="00391875" w:rsidRPr="00057262">
          <w:rPr>
            <w:rStyle w:val="Hyperlink"/>
            <w:rFonts w:ascii="Aptos" w:eastAsia="Verdana" w:hAnsi="Aptos" w:cs="Calibri Light"/>
            <w:sz w:val="16"/>
            <w:szCs w:val="16"/>
          </w:rPr>
          <w:t>www.deloitte.com/about</w:t>
        </w:r>
      </w:hyperlink>
      <w:r w:rsidRPr="00057262">
        <w:rPr>
          <w:rFonts w:ascii="Aptos" w:hAnsi="Aptos" w:cs="Calibri Light"/>
          <w:sz w:val="16"/>
          <w:szCs w:val="16"/>
        </w:rPr>
        <w:t xml:space="preserve"> to learn more about our global network of member firms.</w:t>
      </w:r>
    </w:p>
    <w:p w14:paraId="0EEC4B8D" w14:textId="48F1F9EC" w:rsidR="000E7C6E" w:rsidRPr="00057262" w:rsidRDefault="000E7C6E" w:rsidP="00030E74">
      <w:pPr>
        <w:spacing w:line="180" w:lineRule="atLeast"/>
        <w:ind w:right="2700"/>
        <w:rPr>
          <w:rFonts w:ascii="Aptos" w:hAnsi="Aptos" w:cs="Calibri Light"/>
          <w:sz w:val="16"/>
          <w:szCs w:val="16"/>
        </w:rPr>
      </w:pPr>
      <w:r w:rsidRPr="00057262">
        <w:rPr>
          <w:rFonts w:ascii="Aptos" w:hAnsi="Aptos" w:cs="Calibri Light"/>
          <w:sz w:val="16"/>
          <w:szCs w:val="16"/>
        </w:rPr>
        <w:t xml:space="preserve">Copyright © </w:t>
      </w:r>
      <w:r w:rsidR="009F62C2" w:rsidRPr="00057262">
        <w:rPr>
          <w:rFonts w:ascii="Aptos" w:hAnsi="Aptos" w:cs="Calibri Light"/>
          <w:sz w:val="16"/>
          <w:szCs w:val="16"/>
        </w:rPr>
        <w:t>202</w:t>
      </w:r>
      <w:r w:rsidR="005E19C3" w:rsidRPr="00057262">
        <w:rPr>
          <w:rFonts w:ascii="Aptos" w:hAnsi="Aptos" w:cs="Calibri Light"/>
          <w:sz w:val="16"/>
          <w:szCs w:val="16"/>
        </w:rPr>
        <w:t>5</w:t>
      </w:r>
      <w:r w:rsidR="009F62C2" w:rsidRPr="00057262">
        <w:rPr>
          <w:rFonts w:ascii="Aptos" w:hAnsi="Aptos" w:cs="Calibri Light"/>
          <w:sz w:val="16"/>
          <w:szCs w:val="16"/>
        </w:rPr>
        <w:t xml:space="preserve"> </w:t>
      </w:r>
      <w:r w:rsidRPr="00057262">
        <w:rPr>
          <w:rFonts w:ascii="Aptos" w:hAnsi="Aptos" w:cs="Calibri Light"/>
          <w:sz w:val="16"/>
          <w:szCs w:val="16"/>
        </w:rPr>
        <w:t>Deloitte Development LLC. All rights reserved.</w:t>
      </w:r>
    </w:p>
    <w:p w14:paraId="1A1B2AB4" w14:textId="77777777" w:rsidR="00E668C3" w:rsidRPr="00057262" w:rsidRDefault="00E668C3" w:rsidP="00030E74">
      <w:pPr>
        <w:pStyle w:val="Legaltext"/>
        <w:ind w:right="2700"/>
        <w:rPr>
          <w:rFonts w:ascii="Aptos" w:hAnsi="Aptos" w:cs="Calibri Light"/>
          <w:color w:val="000000" w:themeColor="text1"/>
          <w:sz w:val="16"/>
          <w:szCs w:val="16"/>
          <w:lang w:val="en-US"/>
        </w:rPr>
      </w:pPr>
      <w:r w:rsidRPr="00057262">
        <w:rPr>
          <w:rFonts w:ascii="Aptos" w:hAnsi="Aptos" w:cs="Calibri Light"/>
          <w:color w:val="000000" w:themeColor="text1"/>
          <w:sz w:val="16"/>
          <w:szCs w:val="16"/>
          <w:lang w:val="en-US"/>
        </w:rPr>
        <w:t>Member of Deloitte Touche Tohmatsu Limited</w:t>
      </w:r>
    </w:p>
    <w:sectPr w:rsidR="00E668C3" w:rsidRPr="00057262" w:rsidSect="00FD4ACE">
      <w:headerReference w:type="default" r:id="rId57"/>
      <w:footerReference w:type="defaul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95C2" w14:textId="77777777" w:rsidR="005A7997" w:rsidRDefault="005A7997" w:rsidP="00C612CD">
      <w:r>
        <w:separator/>
      </w:r>
    </w:p>
    <w:p w14:paraId="26F5E515" w14:textId="77777777" w:rsidR="005A7997" w:rsidRDefault="005A7997" w:rsidP="00C612CD"/>
  </w:endnote>
  <w:endnote w:type="continuationSeparator" w:id="0">
    <w:p w14:paraId="4794AF2F" w14:textId="77777777" w:rsidR="005A7997" w:rsidRDefault="005A7997" w:rsidP="00C612CD">
      <w:r>
        <w:continuationSeparator/>
      </w:r>
    </w:p>
    <w:p w14:paraId="2E11894C" w14:textId="77777777" w:rsidR="005A7997" w:rsidRDefault="005A7997" w:rsidP="00C612CD"/>
  </w:endnote>
  <w:endnote w:type="continuationNotice" w:id="1">
    <w:p w14:paraId="60796C3C" w14:textId="77777777" w:rsidR="005A7997" w:rsidRDefault="005A7997"/>
    <w:p w14:paraId="2D3A124A" w14:textId="77777777" w:rsidR="005A7997" w:rsidRDefault="005A7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utiger Next Pro Light">
    <w:altName w:val="Arial"/>
    <w:panose1 w:val="00000000000000000000"/>
    <w:charset w:val="00"/>
    <w:family w:val="swiss"/>
    <w:notTrueType/>
    <w:pitch w:val="variable"/>
    <w:sig w:usb0="800000AF" w:usb1="5000204B" w:usb2="00000000" w:usb3="00000000" w:csb0="0000009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181277"/>
      <w:docPartObj>
        <w:docPartGallery w:val="Page Numbers (Bottom of Page)"/>
        <w:docPartUnique/>
      </w:docPartObj>
    </w:sdtPr>
    <w:sdtEndPr>
      <w:rPr>
        <w:rFonts w:ascii="Aptos" w:hAnsi="Aptos"/>
        <w:noProof/>
        <w:sz w:val="16"/>
        <w:szCs w:val="16"/>
      </w:rPr>
    </w:sdtEndPr>
    <w:sdtContent>
      <w:p w14:paraId="10E38087" w14:textId="642F696D" w:rsidR="003951D3" w:rsidRPr="00DA3367" w:rsidRDefault="003951D3">
        <w:pPr>
          <w:pStyle w:val="Footer"/>
          <w:rPr>
            <w:rFonts w:ascii="Aptos" w:hAnsi="Aptos"/>
            <w:sz w:val="16"/>
            <w:szCs w:val="16"/>
          </w:rPr>
        </w:pPr>
        <w:r w:rsidRPr="00DA3367">
          <w:rPr>
            <w:rFonts w:ascii="Aptos" w:hAnsi="Aptos"/>
            <w:sz w:val="16"/>
            <w:szCs w:val="16"/>
          </w:rPr>
          <w:fldChar w:fldCharType="begin"/>
        </w:r>
        <w:r w:rsidRPr="00DA3367">
          <w:rPr>
            <w:rFonts w:ascii="Aptos" w:hAnsi="Aptos"/>
            <w:sz w:val="16"/>
            <w:szCs w:val="16"/>
          </w:rPr>
          <w:instrText xml:space="preserve"> PAGE   \* MERGEFORMAT </w:instrText>
        </w:r>
        <w:r w:rsidRPr="00DA3367">
          <w:rPr>
            <w:rFonts w:ascii="Aptos" w:hAnsi="Aptos"/>
            <w:sz w:val="16"/>
            <w:szCs w:val="16"/>
          </w:rPr>
          <w:fldChar w:fldCharType="separate"/>
        </w:r>
        <w:r w:rsidRPr="00DA3367">
          <w:rPr>
            <w:rFonts w:ascii="Aptos" w:hAnsi="Aptos"/>
            <w:noProof/>
            <w:sz w:val="16"/>
            <w:szCs w:val="16"/>
          </w:rPr>
          <w:t>2</w:t>
        </w:r>
        <w:r w:rsidRPr="00DA3367">
          <w:rPr>
            <w:rFonts w:ascii="Aptos" w:hAnsi="Aptos"/>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A987" w14:textId="77777777" w:rsidR="005A7997" w:rsidRDefault="005A7997" w:rsidP="00C612CD">
      <w:r>
        <w:separator/>
      </w:r>
    </w:p>
  </w:footnote>
  <w:footnote w:type="continuationSeparator" w:id="0">
    <w:p w14:paraId="771E201D" w14:textId="77777777" w:rsidR="005A7997" w:rsidRDefault="005A7997" w:rsidP="00C612CD">
      <w:r>
        <w:continuationSeparator/>
      </w:r>
    </w:p>
  </w:footnote>
  <w:footnote w:type="continuationNotice" w:id="1">
    <w:p w14:paraId="287F7464" w14:textId="77777777" w:rsidR="005A7997" w:rsidRPr="00DF1F95" w:rsidRDefault="005A7997" w:rsidP="00DF1F95">
      <w:pPr>
        <w:pStyle w:val="Footer"/>
      </w:pPr>
    </w:p>
  </w:footnote>
  <w:footnote w:id="2">
    <w:p w14:paraId="786BC547" w14:textId="207488BC" w:rsidR="004A7988" w:rsidRPr="0032507C" w:rsidRDefault="004D475B" w:rsidP="00620B35">
      <w:pPr>
        <w:pStyle w:val="FootnoteText"/>
        <w:rPr>
          <w:rFonts w:ascii="Aptos" w:hAnsi="Aptos"/>
          <w:szCs w:val="16"/>
          <w:lang w:val="en-US"/>
        </w:rPr>
      </w:pPr>
      <w:r w:rsidRPr="0032507C">
        <w:rPr>
          <w:rStyle w:val="FootnoteReference"/>
          <w:rFonts w:ascii="Aptos" w:hAnsi="Aptos" w:cs="Calibri Light"/>
          <w:szCs w:val="16"/>
        </w:rPr>
        <w:footnoteRef/>
      </w:r>
      <w:r w:rsidRPr="0032507C">
        <w:rPr>
          <w:rStyle w:val="FootnoteReference"/>
          <w:rFonts w:ascii="Aptos" w:hAnsi="Aptos" w:cs="Calibri Light"/>
          <w:szCs w:val="16"/>
        </w:rPr>
        <w:t xml:space="preserve"> </w:t>
      </w:r>
      <w:r w:rsidRPr="0032507C">
        <w:rPr>
          <w:rStyle w:val="FootnoteReference"/>
          <w:rFonts w:ascii="Aptos" w:hAnsi="Aptos" w:cs="Calibri Light"/>
          <w:szCs w:val="16"/>
        </w:rPr>
        <w:tab/>
      </w:r>
      <w:r w:rsidRPr="0032507C">
        <w:rPr>
          <w:rStyle w:val="FootnoteReference"/>
          <w:rFonts w:ascii="Aptos" w:hAnsi="Aptos" w:cs="Calibri Light"/>
          <w:szCs w:val="16"/>
          <w:vertAlign w:val="baseline"/>
        </w:rPr>
        <w:t>Users complete framing questions within the Checklist in the Deloitte Disclosure Analytics suite to</w:t>
      </w:r>
      <w:r w:rsidR="00CC2294" w:rsidRPr="0032507C">
        <w:rPr>
          <w:rFonts w:ascii="Aptos" w:hAnsi="Aptos" w:cs="Calibri Light"/>
          <w:szCs w:val="16"/>
          <w:lang w:val="en-US"/>
        </w:rPr>
        <w:t xml:space="preserve"> include within its</w:t>
      </w:r>
      <w:r w:rsidRPr="0032507C">
        <w:rPr>
          <w:rStyle w:val="FootnoteReference"/>
          <w:rFonts w:ascii="Aptos" w:hAnsi="Aptos" w:cs="Calibri Light"/>
          <w:szCs w:val="16"/>
          <w:vertAlign w:val="baseline"/>
        </w:rPr>
        <w:t xml:space="preserve"> scope</w:t>
      </w:r>
      <w:r w:rsidR="00CC2294" w:rsidRPr="0032507C">
        <w:rPr>
          <w:rStyle w:val="FootnoteReference"/>
          <w:rFonts w:ascii="Aptos" w:hAnsi="Aptos" w:cs="Calibri Light"/>
          <w:szCs w:val="16"/>
          <w:vertAlign w:val="baseline"/>
          <w:lang w:val="en-US"/>
        </w:rPr>
        <w:t>,</w:t>
      </w:r>
      <w:r w:rsidRPr="0032507C">
        <w:rPr>
          <w:rStyle w:val="FootnoteReference"/>
          <w:rFonts w:ascii="Aptos" w:hAnsi="Aptos" w:cs="Calibri Light"/>
          <w:szCs w:val="16"/>
          <w:vertAlign w:val="baseline"/>
        </w:rPr>
        <w:t xml:space="preserve"> Topics and Subtopics into the checklist based on what is applicable for the entity.</w:t>
      </w:r>
    </w:p>
  </w:footnote>
  <w:footnote w:id="3">
    <w:p w14:paraId="29479E17" w14:textId="6B0AE032" w:rsidR="00AF44C0" w:rsidRPr="0032507C" w:rsidRDefault="00AF44C0">
      <w:pPr>
        <w:pStyle w:val="FootnoteText"/>
        <w:rPr>
          <w:rFonts w:ascii="Aptos" w:hAnsi="Aptos"/>
          <w:lang w:val="en-US"/>
        </w:rPr>
      </w:pPr>
      <w:r w:rsidRPr="0032507C">
        <w:rPr>
          <w:rStyle w:val="FootnoteReference"/>
          <w:rFonts w:ascii="Aptos" w:hAnsi="Aptos"/>
        </w:rPr>
        <w:footnoteRef/>
      </w:r>
      <w:r w:rsidR="7293FABD" w:rsidRPr="0032507C">
        <w:rPr>
          <w:rFonts w:ascii="Aptos" w:hAnsi="Aptos"/>
        </w:rPr>
        <w:t xml:space="preserve"> </w:t>
      </w:r>
      <w:r w:rsidR="7293FABD" w:rsidRPr="0032507C">
        <w:rPr>
          <w:rFonts w:ascii="Aptos" w:hAnsi="Aptos"/>
          <w:lang w:val="en-US"/>
        </w:rPr>
        <w:t>FASB Accounting Standards Codification (ASC) Subtopic 326-20, </w:t>
      </w:r>
      <w:r w:rsidR="7293FABD" w:rsidRPr="0032507C">
        <w:rPr>
          <w:rFonts w:ascii="Aptos" w:hAnsi="Aptos"/>
          <w:i/>
          <w:iCs/>
          <w:lang w:val="en-US"/>
        </w:rPr>
        <w:t>Financial Instruments — Credit Losses: Overall</w:t>
      </w:r>
      <w:r w:rsidR="7293FABD" w:rsidRPr="0032507C">
        <w:rPr>
          <w:rFonts w:ascii="Aptos" w:hAnsi="Aptos"/>
          <w:lang w:val="en-US"/>
        </w:rPr>
        <w:t>.</w:t>
      </w:r>
    </w:p>
  </w:footnote>
  <w:footnote w:id="4">
    <w:p w14:paraId="75A51740" w14:textId="224192DB" w:rsidR="009F797F" w:rsidRPr="0032507C" w:rsidRDefault="009F797F">
      <w:pPr>
        <w:pStyle w:val="FootnoteText"/>
        <w:rPr>
          <w:rFonts w:ascii="Aptos" w:hAnsi="Aptos"/>
          <w:lang w:val="en-US"/>
        </w:rPr>
      </w:pPr>
      <w:r w:rsidRPr="0032507C">
        <w:rPr>
          <w:rStyle w:val="FootnoteReference"/>
          <w:rFonts w:ascii="Aptos" w:hAnsi="Aptos"/>
        </w:rPr>
        <w:footnoteRef/>
      </w:r>
      <w:r w:rsidR="7293FABD" w:rsidRPr="0032507C">
        <w:rPr>
          <w:rFonts w:ascii="Aptos" w:hAnsi="Aptos"/>
        </w:rPr>
        <w:t xml:space="preserve"> </w:t>
      </w:r>
      <w:r w:rsidR="7293FABD" w:rsidRPr="0032507C">
        <w:rPr>
          <w:rFonts w:ascii="Aptos" w:hAnsi="Aptos"/>
          <w:lang w:val="en-US"/>
        </w:rPr>
        <w:t>FASB Accounting Standards Codification (ASC) Subtopic 326-20, </w:t>
      </w:r>
      <w:r w:rsidR="7293FABD" w:rsidRPr="0032507C">
        <w:rPr>
          <w:rFonts w:ascii="Aptos" w:hAnsi="Aptos"/>
          <w:i/>
          <w:iCs/>
          <w:lang w:val="en-US"/>
        </w:rPr>
        <w:t>Financial Instruments — Credit Losses: Measured at Amortized Cost</w:t>
      </w:r>
      <w:r w:rsidR="7293FABD" w:rsidRPr="0032507C">
        <w:rPr>
          <w:rFonts w:ascii="Aptos" w:hAnsi="Aptos"/>
          <w:lang w:val="en-US"/>
        </w:rPr>
        <w:t>.</w:t>
      </w:r>
    </w:p>
  </w:footnote>
  <w:footnote w:id="5">
    <w:p w14:paraId="51D3688E" w14:textId="69F9C8C1" w:rsidR="00374F61" w:rsidRPr="0032507C" w:rsidRDefault="00374F61" w:rsidP="00374F61">
      <w:pPr>
        <w:pStyle w:val="FootnoteText"/>
        <w:rPr>
          <w:rFonts w:ascii="Aptos" w:hAnsi="Aptos"/>
          <w:lang w:val="en-US"/>
        </w:rPr>
      </w:pPr>
      <w:r w:rsidRPr="0032507C">
        <w:rPr>
          <w:rStyle w:val="FootnoteReference"/>
          <w:rFonts w:ascii="Aptos" w:hAnsi="Aptos"/>
        </w:rPr>
        <w:footnoteRef/>
      </w:r>
      <w:r w:rsidRPr="0032507C">
        <w:rPr>
          <w:rFonts w:ascii="Aptos" w:hAnsi="Aptos"/>
        </w:rPr>
        <w:t xml:space="preserve"> </w:t>
      </w:r>
      <w:r w:rsidRPr="0032507C">
        <w:rPr>
          <w:rFonts w:ascii="Aptos" w:hAnsi="Aptos"/>
          <w:lang w:val="en-US"/>
        </w:rPr>
        <w:t xml:space="preserve">FASB Accounting Standards Codification </w:t>
      </w:r>
      <w:r w:rsidR="00E24FF8">
        <w:rPr>
          <w:rFonts w:ascii="Aptos" w:hAnsi="Aptos"/>
          <w:lang w:val="en-US"/>
        </w:rPr>
        <w:t xml:space="preserve">(ASC) </w:t>
      </w:r>
      <w:r w:rsidRPr="0032507C">
        <w:rPr>
          <w:rFonts w:ascii="Aptos" w:hAnsi="Aptos"/>
          <w:lang w:val="en-US"/>
        </w:rPr>
        <w:t>Topic 606, </w:t>
      </w:r>
      <w:r w:rsidRPr="0032507C">
        <w:rPr>
          <w:rFonts w:ascii="Aptos" w:hAnsi="Aptos"/>
          <w:i/>
          <w:iCs/>
          <w:lang w:val="en-US"/>
        </w:rPr>
        <w:t xml:space="preserve">Revenue </w:t>
      </w:r>
      <w:r w:rsidR="0030359A" w:rsidRPr="0032507C">
        <w:rPr>
          <w:rFonts w:ascii="Aptos" w:hAnsi="Aptos"/>
          <w:i/>
          <w:iCs/>
          <w:lang w:val="en-US"/>
        </w:rPr>
        <w:t>f</w:t>
      </w:r>
      <w:r w:rsidRPr="0032507C">
        <w:rPr>
          <w:rFonts w:ascii="Aptos" w:hAnsi="Aptos"/>
          <w:i/>
          <w:iCs/>
          <w:lang w:val="en-US"/>
        </w:rPr>
        <w:t xml:space="preserve">rom Contracts </w:t>
      </w:r>
      <w:r w:rsidR="0030359A" w:rsidRPr="0032507C">
        <w:rPr>
          <w:rFonts w:ascii="Aptos" w:hAnsi="Aptos"/>
          <w:i/>
          <w:iCs/>
          <w:lang w:val="en-US"/>
        </w:rPr>
        <w:t>w</w:t>
      </w:r>
      <w:r w:rsidRPr="0032507C">
        <w:rPr>
          <w:rFonts w:ascii="Aptos" w:hAnsi="Aptos"/>
          <w:i/>
          <w:iCs/>
          <w:lang w:val="en-US"/>
        </w:rPr>
        <w:t>ith Customers</w:t>
      </w:r>
      <w:r w:rsidRPr="0032507C">
        <w:rPr>
          <w:rFonts w:ascii="Aptos" w:hAnsi="Aptos"/>
          <w:lang w:val="en-US"/>
        </w:rPr>
        <w:t>.</w:t>
      </w:r>
    </w:p>
  </w:footnote>
  <w:footnote w:id="6">
    <w:p w14:paraId="094D9C28" w14:textId="728BA97B" w:rsidR="00BD4559" w:rsidRPr="00023D2E" w:rsidRDefault="00BD4559" w:rsidP="00BD4559">
      <w:pPr>
        <w:pStyle w:val="FootnoteText"/>
        <w:rPr>
          <w:rFonts w:ascii="Aptos" w:hAnsi="Aptos"/>
          <w:lang w:val="en-US"/>
        </w:rPr>
      </w:pPr>
      <w:r w:rsidRPr="00023D2E">
        <w:rPr>
          <w:rStyle w:val="FootnoteReference"/>
          <w:rFonts w:ascii="Aptos" w:hAnsi="Aptos"/>
        </w:rPr>
        <w:footnoteRef/>
      </w:r>
      <w:r w:rsidRPr="00023D2E">
        <w:rPr>
          <w:rFonts w:ascii="Aptos" w:hAnsi="Aptos"/>
        </w:rPr>
        <w:t xml:space="preserve"> </w:t>
      </w:r>
      <w:r w:rsidRPr="00023D2E">
        <w:rPr>
          <w:rFonts w:ascii="Aptos" w:hAnsi="Aptos"/>
          <w:lang w:val="en-US"/>
        </w:rPr>
        <w:t xml:space="preserve">FASB Accounting Standards Codification (ASC) Subtopic 350-40, </w:t>
      </w:r>
      <w:r w:rsidRPr="00023D2E">
        <w:rPr>
          <w:rFonts w:ascii="Aptos" w:hAnsi="Aptos"/>
          <w:i/>
          <w:iCs/>
          <w:lang w:val="en-US"/>
        </w:rPr>
        <w:t>Intangibles — Goodwill and Other</w:t>
      </w:r>
      <w:r w:rsidR="00023D2E">
        <w:rPr>
          <w:rFonts w:ascii="Aptos" w:hAnsi="Aptos"/>
          <w:i/>
          <w:iCs/>
          <w:lang w:val="en-US"/>
        </w:rPr>
        <w:t>:</w:t>
      </w:r>
      <w:r w:rsidRPr="00023D2E">
        <w:rPr>
          <w:rFonts w:ascii="Aptos" w:hAnsi="Aptos"/>
          <w:i/>
          <w:iCs/>
          <w:lang w:val="en-US"/>
        </w:rPr>
        <w:t xml:space="preserve"> Internal-Use Software.</w:t>
      </w:r>
    </w:p>
  </w:footnote>
  <w:footnote w:id="7">
    <w:p w14:paraId="55ACE0AA" w14:textId="5B28296A" w:rsidR="00BD4559" w:rsidRPr="00023D2E" w:rsidRDefault="00BD4559" w:rsidP="00BD4559">
      <w:pPr>
        <w:pStyle w:val="FootnoteText"/>
        <w:rPr>
          <w:rFonts w:ascii="Aptos" w:hAnsi="Aptos"/>
          <w:lang w:val="en-US"/>
        </w:rPr>
      </w:pPr>
      <w:r w:rsidRPr="00023D2E">
        <w:rPr>
          <w:rStyle w:val="FootnoteReference"/>
          <w:rFonts w:ascii="Aptos" w:hAnsi="Aptos"/>
        </w:rPr>
        <w:footnoteRef/>
      </w:r>
      <w:r w:rsidRPr="00023D2E">
        <w:rPr>
          <w:rFonts w:ascii="Aptos" w:hAnsi="Aptos"/>
        </w:rPr>
        <w:t xml:space="preserve"> </w:t>
      </w:r>
      <w:r w:rsidRPr="00023D2E">
        <w:rPr>
          <w:rFonts w:ascii="Aptos" w:hAnsi="Aptos"/>
          <w:lang w:val="en-US"/>
        </w:rPr>
        <w:t xml:space="preserve">FASB Accounting Standards Codification (ASC) Subtopic 985-20, </w:t>
      </w:r>
      <w:r w:rsidRPr="00023D2E">
        <w:rPr>
          <w:rFonts w:ascii="Aptos" w:hAnsi="Aptos"/>
          <w:i/>
          <w:iCs/>
          <w:lang w:val="en-US"/>
        </w:rPr>
        <w:t>Software</w:t>
      </w:r>
      <w:r w:rsidR="00023D2E">
        <w:rPr>
          <w:rFonts w:ascii="Aptos" w:hAnsi="Aptos"/>
          <w:i/>
          <w:iCs/>
          <w:lang w:val="en-US"/>
        </w:rPr>
        <w:t xml:space="preserve">: </w:t>
      </w:r>
      <w:r w:rsidRPr="00023D2E">
        <w:rPr>
          <w:rFonts w:ascii="Aptos" w:hAnsi="Aptos"/>
          <w:i/>
          <w:iCs/>
          <w:lang w:val="en-US"/>
        </w:rPr>
        <w:t>Costs of Software to Be Sold, Leased, or Marketed.</w:t>
      </w:r>
    </w:p>
  </w:footnote>
  <w:footnote w:id="8">
    <w:p w14:paraId="2505328B" w14:textId="2A3C0791" w:rsidR="008F7990" w:rsidRPr="00023D2E" w:rsidRDefault="008F7990" w:rsidP="008F7990">
      <w:pPr>
        <w:pStyle w:val="FootnoteText"/>
        <w:rPr>
          <w:rFonts w:ascii="Aptos" w:hAnsi="Aptos"/>
          <w:lang w:val="en-US"/>
        </w:rPr>
      </w:pPr>
      <w:r w:rsidRPr="00023D2E">
        <w:rPr>
          <w:rStyle w:val="FootnoteReference"/>
          <w:rFonts w:ascii="Aptos" w:hAnsi="Aptos"/>
        </w:rPr>
        <w:footnoteRef/>
      </w:r>
      <w:r w:rsidRPr="00023D2E">
        <w:rPr>
          <w:rFonts w:ascii="Aptos" w:hAnsi="Aptos"/>
        </w:rPr>
        <w:t xml:space="preserve"> </w:t>
      </w:r>
      <w:r w:rsidRPr="00023D2E">
        <w:rPr>
          <w:rFonts w:ascii="Aptos" w:hAnsi="Aptos"/>
          <w:lang w:val="en-US"/>
        </w:rPr>
        <w:t>FASB Accounting Standards Codification (ASC) Subtopic 350-</w:t>
      </w:r>
      <w:r w:rsidR="00023D2E">
        <w:rPr>
          <w:rFonts w:ascii="Aptos" w:hAnsi="Aptos"/>
          <w:lang w:val="en-US"/>
        </w:rPr>
        <w:t>5</w:t>
      </w:r>
      <w:r w:rsidRPr="00023D2E">
        <w:rPr>
          <w:rFonts w:ascii="Aptos" w:hAnsi="Aptos"/>
          <w:lang w:val="en-US"/>
        </w:rPr>
        <w:t xml:space="preserve">0, </w:t>
      </w:r>
      <w:r w:rsidRPr="00023D2E">
        <w:rPr>
          <w:rFonts w:ascii="Aptos" w:hAnsi="Aptos"/>
          <w:i/>
          <w:iCs/>
          <w:lang w:val="en-US"/>
        </w:rPr>
        <w:t xml:space="preserve">Intangibles </w:t>
      </w:r>
      <w:r w:rsidR="00D91DB6" w:rsidRPr="00023D2E">
        <w:rPr>
          <w:rFonts w:ascii="Aptos" w:hAnsi="Aptos"/>
          <w:i/>
          <w:iCs/>
          <w:lang w:val="en-US"/>
        </w:rPr>
        <w:t>—</w:t>
      </w:r>
      <w:r w:rsidRPr="00023D2E">
        <w:rPr>
          <w:rFonts w:ascii="Aptos" w:hAnsi="Aptos"/>
          <w:i/>
          <w:iCs/>
          <w:lang w:val="en-US"/>
        </w:rPr>
        <w:t xml:space="preserve"> Goodwill and Other</w:t>
      </w:r>
      <w:r w:rsidR="00023D2E">
        <w:rPr>
          <w:rFonts w:ascii="Aptos" w:hAnsi="Aptos"/>
          <w:i/>
          <w:iCs/>
          <w:lang w:val="en-US"/>
        </w:rPr>
        <w:t xml:space="preserve">: </w:t>
      </w:r>
      <w:r w:rsidRPr="00023D2E">
        <w:rPr>
          <w:rFonts w:ascii="Aptos" w:hAnsi="Aptos"/>
          <w:i/>
          <w:iCs/>
          <w:lang w:val="en-US"/>
        </w:rPr>
        <w:t>Website Development Costs.</w:t>
      </w:r>
    </w:p>
  </w:footnote>
  <w:footnote w:id="9">
    <w:p w14:paraId="368C6575" w14:textId="037846DF" w:rsidR="00484D6D" w:rsidRPr="00DA3367" w:rsidRDefault="00484D6D">
      <w:pPr>
        <w:pStyle w:val="FootnoteText"/>
        <w:rPr>
          <w:rFonts w:ascii="Aptos" w:hAnsi="Aptos"/>
          <w:lang w:val="en-US"/>
        </w:rPr>
      </w:pPr>
      <w:r w:rsidRPr="00611539">
        <w:rPr>
          <w:rStyle w:val="FootnoteReference"/>
          <w:rFonts w:ascii="Aptos" w:hAnsi="Aptos"/>
        </w:rPr>
        <w:footnoteRef/>
      </w:r>
      <w:r w:rsidRPr="00611539">
        <w:rPr>
          <w:rFonts w:ascii="Aptos" w:hAnsi="Aptos"/>
        </w:rPr>
        <w:t xml:space="preserve"> </w:t>
      </w:r>
      <w:r w:rsidRPr="00611539">
        <w:rPr>
          <w:rFonts w:ascii="Aptos" w:hAnsi="Aptos"/>
          <w:lang w:val="en-US"/>
        </w:rPr>
        <w:t xml:space="preserve">FASB Accounting Standards Codification </w:t>
      </w:r>
      <w:r w:rsidR="009B6023" w:rsidRPr="00611539">
        <w:rPr>
          <w:rFonts w:ascii="Aptos" w:hAnsi="Aptos"/>
          <w:lang w:val="en-US"/>
        </w:rPr>
        <w:t xml:space="preserve">(ASC) </w:t>
      </w:r>
      <w:r w:rsidRPr="00611539">
        <w:rPr>
          <w:rFonts w:ascii="Aptos" w:hAnsi="Aptos"/>
          <w:lang w:val="en-US"/>
        </w:rPr>
        <w:t>Topic 815, </w:t>
      </w:r>
      <w:r w:rsidR="000E6520" w:rsidRPr="00611539">
        <w:rPr>
          <w:rFonts w:ascii="Aptos" w:hAnsi="Aptos"/>
          <w:i/>
          <w:iCs/>
          <w:lang w:val="en-US"/>
        </w:rPr>
        <w:t>Derivatives and Hedging.</w:t>
      </w:r>
    </w:p>
  </w:footnote>
  <w:footnote w:id="10">
    <w:p w14:paraId="6B581504" w14:textId="2D660275" w:rsidR="00182A47" w:rsidRPr="00DA3367" w:rsidRDefault="00182A47">
      <w:pPr>
        <w:pStyle w:val="FootnoteText"/>
        <w:rPr>
          <w:rFonts w:ascii="Aptos" w:hAnsi="Aptos"/>
          <w:lang w:val="en-US"/>
        </w:rPr>
      </w:pPr>
      <w:r w:rsidRPr="00611539">
        <w:rPr>
          <w:rStyle w:val="FootnoteReference"/>
          <w:rFonts w:ascii="Aptos" w:hAnsi="Aptos"/>
        </w:rPr>
        <w:footnoteRef/>
      </w:r>
      <w:r w:rsidRPr="00611539">
        <w:rPr>
          <w:rFonts w:ascii="Aptos" w:hAnsi="Aptos"/>
        </w:rPr>
        <w:t xml:space="preserve"> </w:t>
      </w:r>
      <w:r w:rsidRPr="00611539">
        <w:rPr>
          <w:rFonts w:ascii="Aptos" w:hAnsi="Aptos"/>
          <w:lang w:val="en-US"/>
        </w:rPr>
        <w:t xml:space="preserve">FASB Accounting Standards Codification </w:t>
      </w:r>
      <w:r w:rsidR="009B6023" w:rsidRPr="00611539">
        <w:rPr>
          <w:rFonts w:ascii="Aptos" w:hAnsi="Aptos"/>
          <w:lang w:val="en-US"/>
        </w:rPr>
        <w:t xml:space="preserve">(ASC) </w:t>
      </w:r>
      <w:r w:rsidRPr="00611539">
        <w:rPr>
          <w:rFonts w:ascii="Aptos" w:hAnsi="Aptos"/>
          <w:lang w:val="en-US"/>
        </w:rPr>
        <w:t>Topic 606, </w:t>
      </w:r>
      <w:r w:rsidRPr="00611539">
        <w:rPr>
          <w:rFonts w:ascii="Aptos" w:hAnsi="Aptos"/>
          <w:i/>
          <w:iCs/>
          <w:lang w:val="en-US"/>
        </w:rPr>
        <w:t>Revenue from Contracts with Customers</w:t>
      </w:r>
      <w:r w:rsidRPr="00611539">
        <w:rPr>
          <w:rFonts w:ascii="Aptos" w:hAnsi="Aptos"/>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61FF" w14:textId="2C7335E2" w:rsidR="00BE3634" w:rsidRPr="00DA3367" w:rsidRDefault="7293FABD" w:rsidP="001F7812">
    <w:pPr>
      <w:pStyle w:val="DeloitteHeaderFooter"/>
      <w:spacing w:after="0"/>
      <w:jc w:val="right"/>
      <w:rPr>
        <w:rFonts w:ascii="Aptos" w:hAnsi="Aptos" w:cs="Calibri Light"/>
      </w:rPr>
    </w:pPr>
    <w:r w:rsidRPr="00DA3367">
      <w:rPr>
        <w:rFonts w:ascii="Aptos" w:hAnsi="Aptos" w:cs="Calibri Light"/>
      </w:rPr>
      <w:t>U.S. GAAP Checklist Q3 October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630C"/>
    <w:multiLevelType w:val="hybridMultilevel"/>
    <w:tmpl w:val="CFAC8764"/>
    <w:lvl w:ilvl="0" w:tplc="7BDE5342">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88B7C35"/>
    <w:multiLevelType w:val="hybridMultilevel"/>
    <w:tmpl w:val="E9EA51DE"/>
    <w:lvl w:ilvl="0" w:tplc="0FC441C8">
      <w:start w:val="1"/>
      <w:numFmt w:val="lowerLetter"/>
      <w:pStyle w:val="PAAlphaList"/>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A61603A"/>
    <w:multiLevelType w:val="hybridMultilevel"/>
    <w:tmpl w:val="CB6C87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04554"/>
    <w:multiLevelType w:val="hybridMultilevel"/>
    <w:tmpl w:val="BB66B4DC"/>
    <w:lvl w:ilvl="0" w:tplc="77022CE2">
      <w:numFmt w:val="bullet"/>
      <w:lvlText w:val=""/>
      <w:lvlJc w:val="left"/>
      <w:pPr>
        <w:ind w:left="480" w:hanging="360"/>
      </w:pPr>
      <w:rPr>
        <w:rFonts w:ascii="Symbol" w:eastAsia="Symbol" w:hAnsi="Symbol" w:cs="Symbol" w:hint="default"/>
        <w:w w:val="100"/>
        <w:sz w:val="18"/>
        <w:szCs w:val="18"/>
      </w:rPr>
    </w:lvl>
    <w:lvl w:ilvl="1" w:tplc="4F7A5AEC">
      <w:numFmt w:val="bullet"/>
      <w:lvlText w:val=""/>
      <w:lvlJc w:val="left"/>
      <w:pPr>
        <w:ind w:left="820" w:hanging="360"/>
      </w:pPr>
      <w:rPr>
        <w:rFonts w:ascii="Symbol" w:eastAsia="Symbol" w:hAnsi="Symbol" w:cs="Symbol" w:hint="default"/>
        <w:w w:val="100"/>
        <w:sz w:val="18"/>
        <w:szCs w:val="18"/>
      </w:rPr>
    </w:lvl>
    <w:lvl w:ilvl="2" w:tplc="EE9EA7EC">
      <w:numFmt w:val="bullet"/>
      <w:pStyle w:val="PAForExampleBullets"/>
      <w:lvlText w:val=""/>
      <w:lvlJc w:val="left"/>
      <w:pPr>
        <w:ind w:left="1200" w:hanging="360"/>
      </w:pPr>
      <w:rPr>
        <w:rFonts w:ascii="Symbol" w:eastAsia="Symbol" w:hAnsi="Symbol" w:cs="Symbol" w:hint="default"/>
        <w:w w:val="100"/>
        <w:sz w:val="18"/>
        <w:szCs w:val="18"/>
      </w:rPr>
    </w:lvl>
    <w:lvl w:ilvl="3" w:tplc="3C760CCA">
      <w:numFmt w:val="bullet"/>
      <w:lvlText w:val="•"/>
      <w:lvlJc w:val="left"/>
      <w:pPr>
        <w:ind w:left="2425" w:hanging="360"/>
      </w:pPr>
      <w:rPr>
        <w:rFonts w:hint="default"/>
      </w:rPr>
    </w:lvl>
    <w:lvl w:ilvl="4" w:tplc="00C03086">
      <w:numFmt w:val="bullet"/>
      <w:lvlText w:val="•"/>
      <w:lvlJc w:val="left"/>
      <w:pPr>
        <w:ind w:left="3650" w:hanging="360"/>
      </w:pPr>
      <w:rPr>
        <w:rFonts w:hint="default"/>
      </w:rPr>
    </w:lvl>
    <w:lvl w:ilvl="5" w:tplc="DEE22E72">
      <w:numFmt w:val="bullet"/>
      <w:lvlText w:val="•"/>
      <w:lvlJc w:val="left"/>
      <w:pPr>
        <w:ind w:left="4875" w:hanging="360"/>
      </w:pPr>
      <w:rPr>
        <w:rFonts w:hint="default"/>
      </w:rPr>
    </w:lvl>
    <w:lvl w:ilvl="6" w:tplc="397E00BA">
      <w:numFmt w:val="bullet"/>
      <w:lvlText w:val="•"/>
      <w:lvlJc w:val="left"/>
      <w:pPr>
        <w:ind w:left="6100" w:hanging="360"/>
      </w:pPr>
      <w:rPr>
        <w:rFonts w:hint="default"/>
      </w:rPr>
    </w:lvl>
    <w:lvl w:ilvl="7" w:tplc="4A9A5B52">
      <w:numFmt w:val="bullet"/>
      <w:lvlText w:val="•"/>
      <w:lvlJc w:val="left"/>
      <w:pPr>
        <w:ind w:left="7325" w:hanging="360"/>
      </w:pPr>
      <w:rPr>
        <w:rFonts w:hint="default"/>
      </w:rPr>
    </w:lvl>
    <w:lvl w:ilvl="8" w:tplc="C324B4FE">
      <w:numFmt w:val="bullet"/>
      <w:lvlText w:val="•"/>
      <w:lvlJc w:val="left"/>
      <w:pPr>
        <w:ind w:left="8550" w:hanging="360"/>
      </w:pPr>
      <w:rPr>
        <w:rFonts w:hint="default"/>
      </w:rPr>
    </w:lvl>
  </w:abstractNum>
  <w:abstractNum w:abstractNumId="4" w15:restartNumberingAfterBreak="0">
    <w:nsid w:val="24852876"/>
    <w:multiLevelType w:val="hybridMultilevel"/>
    <w:tmpl w:val="6776A158"/>
    <w:lvl w:ilvl="0" w:tplc="297AA1B2">
      <w:start w:val="1"/>
      <w:numFmt w:val="decimal"/>
      <w:pStyle w:val="PATable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946DA"/>
    <w:multiLevelType w:val="hybridMultilevel"/>
    <w:tmpl w:val="C4FE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E08B0"/>
    <w:multiLevelType w:val="hybridMultilevel"/>
    <w:tmpl w:val="C6705D8C"/>
    <w:lvl w:ilvl="0" w:tplc="28268F3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41A85"/>
    <w:multiLevelType w:val="hybridMultilevel"/>
    <w:tmpl w:val="D83278A0"/>
    <w:lvl w:ilvl="0" w:tplc="352E8E56">
      <w:start w:val="1"/>
      <w:numFmt w:val="decimal"/>
      <w:pStyle w:val="PANumberedList"/>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11954DB"/>
    <w:multiLevelType w:val="hybridMultilevel"/>
    <w:tmpl w:val="43C07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B6923"/>
    <w:multiLevelType w:val="hybridMultilevel"/>
    <w:tmpl w:val="79147690"/>
    <w:lvl w:ilvl="0" w:tplc="8FD44188">
      <w:start w:val="2025"/>
      <w:numFmt w:val="bullet"/>
      <w:lvlText w:val="-"/>
      <w:lvlJc w:val="left"/>
      <w:pPr>
        <w:ind w:left="720" w:hanging="360"/>
      </w:pPr>
      <w:rPr>
        <w:rFonts w:ascii="Calibri Light" w:eastAsia="Verdan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84C6F"/>
    <w:multiLevelType w:val="hybridMultilevel"/>
    <w:tmpl w:val="E1446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FC300A"/>
    <w:multiLevelType w:val="hybridMultilevel"/>
    <w:tmpl w:val="AA72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B0C86"/>
    <w:multiLevelType w:val="hybridMultilevel"/>
    <w:tmpl w:val="252EC4B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24CFA"/>
    <w:multiLevelType w:val="multilevel"/>
    <w:tmpl w:val="AD9C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1C3DD2"/>
    <w:multiLevelType w:val="hybridMultilevel"/>
    <w:tmpl w:val="FBA82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7F1BB7"/>
    <w:multiLevelType w:val="hybridMultilevel"/>
    <w:tmpl w:val="3B10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E7B02"/>
    <w:multiLevelType w:val="hybridMultilevel"/>
    <w:tmpl w:val="D964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0A65C8"/>
    <w:multiLevelType w:val="hybridMultilevel"/>
    <w:tmpl w:val="210420A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B4630C"/>
    <w:multiLevelType w:val="multilevel"/>
    <w:tmpl w:val="0F2EDCE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9" w15:restartNumberingAfterBreak="0">
    <w:nsid w:val="62E53363"/>
    <w:multiLevelType w:val="multilevel"/>
    <w:tmpl w:val="4C00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E54AE7"/>
    <w:multiLevelType w:val="multilevel"/>
    <w:tmpl w:val="8F24FC0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21" w15:restartNumberingAfterBreak="0">
    <w:nsid w:val="755D2F0E"/>
    <w:multiLevelType w:val="hybridMultilevel"/>
    <w:tmpl w:val="E3BA1A54"/>
    <w:lvl w:ilvl="0" w:tplc="4822D86E">
      <w:start w:val="1"/>
      <w:numFmt w:val="lowerLetter"/>
      <w:pStyle w:val="PATableAlph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4533C"/>
    <w:multiLevelType w:val="hybridMultilevel"/>
    <w:tmpl w:val="59243AF2"/>
    <w:lvl w:ilvl="0" w:tplc="C718A0BA">
      <w:start w:val="1"/>
      <w:numFmt w:val="bullet"/>
      <w:pStyle w:val="PABulletLink75IND"/>
      <w:lvlText w:val=""/>
      <w:lvlJc w:val="left"/>
      <w:pPr>
        <w:ind w:left="720" w:hanging="360"/>
      </w:pPr>
      <w:rPr>
        <w:rFonts w:ascii="Symbol" w:hAnsi="Symbol" w:hint="default"/>
        <w:color w:val="62B5E5" w:themeColor="accent3"/>
      </w:rPr>
    </w:lvl>
    <w:lvl w:ilvl="1" w:tplc="3842A622">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34D17"/>
    <w:multiLevelType w:val="hybridMultilevel"/>
    <w:tmpl w:val="F3B4D06E"/>
    <w:lvl w:ilvl="0" w:tplc="A6F6CF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13368"/>
    <w:multiLevelType w:val="hybridMultilevel"/>
    <w:tmpl w:val="237E07AC"/>
    <w:lvl w:ilvl="0" w:tplc="B354181E">
      <w:start w:val="1"/>
      <w:numFmt w:val="bullet"/>
      <w:pStyle w:val="PABullet2"/>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255137">
    <w:abstractNumId w:val="20"/>
  </w:num>
  <w:num w:numId="2" w16cid:durableId="171577336">
    <w:abstractNumId w:val="22"/>
  </w:num>
  <w:num w:numId="3" w16cid:durableId="347876909">
    <w:abstractNumId w:val="1"/>
  </w:num>
  <w:num w:numId="4" w16cid:durableId="815535966">
    <w:abstractNumId w:val="24"/>
  </w:num>
  <w:num w:numId="5" w16cid:durableId="794913274">
    <w:abstractNumId w:val="3"/>
  </w:num>
  <w:num w:numId="6" w16cid:durableId="691496523">
    <w:abstractNumId w:val="7"/>
  </w:num>
  <w:num w:numId="7" w16cid:durableId="258216739">
    <w:abstractNumId w:val="21"/>
  </w:num>
  <w:num w:numId="8" w16cid:durableId="169956396">
    <w:abstractNumId w:val="4"/>
  </w:num>
  <w:num w:numId="9" w16cid:durableId="766584667">
    <w:abstractNumId w:val="0"/>
  </w:num>
  <w:num w:numId="10" w16cid:durableId="1182359706">
    <w:abstractNumId w:val="23"/>
  </w:num>
  <w:num w:numId="11" w16cid:durableId="161628548">
    <w:abstractNumId w:val="6"/>
  </w:num>
  <w:num w:numId="12" w16cid:durableId="145363864">
    <w:abstractNumId w:val="12"/>
  </w:num>
  <w:num w:numId="13" w16cid:durableId="1050574019">
    <w:abstractNumId w:val="2"/>
  </w:num>
  <w:num w:numId="14" w16cid:durableId="1572736980">
    <w:abstractNumId w:val="13"/>
  </w:num>
  <w:num w:numId="15" w16cid:durableId="382292228">
    <w:abstractNumId w:val="14"/>
  </w:num>
  <w:num w:numId="16" w16cid:durableId="1481270453">
    <w:abstractNumId w:val="5"/>
  </w:num>
  <w:num w:numId="17" w16cid:durableId="1846089193">
    <w:abstractNumId w:val="8"/>
  </w:num>
  <w:num w:numId="18" w16cid:durableId="2110421879">
    <w:abstractNumId w:val="15"/>
  </w:num>
  <w:num w:numId="19" w16cid:durableId="1999652224">
    <w:abstractNumId w:val="11"/>
  </w:num>
  <w:num w:numId="20" w16cid:durableId="2010205548">
    <w:abstractNumId w:val="19"/>
  </w:num>
  <w:num w:numId="21" w16cid:durableId="341321538">
    <w:abstractNumId w:val="17"/>
  </w:num>
  <w:num w:numId="22" w16cid:durableId="2072338761">
    <w:abstractNumId w:val="16"/>
  </w:num>
  <w:num w:numId="23" w16cid:durableId="1546258907">
    <w:abstractNumId w:val="22"/>
  </w:num>
  <w:num w:numId="24" w16cid:durableId="1243292852">
    <w:abstractNumId w:val="18"/>
  </w:num>
  <w:num w:numId="25" w16cid:durableId="943464101">
    <w:abstractNumId w:val="9"/>
  </w:num>
  <w:num w:numId="26" w16cid:durableId="106398458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CD"/>
    <w:rsid w:val="000005C4"/>
    <w:rsid w:val="000007FB"/>
    <w:rsid w:val="000008F6"/>
    <w:rsid w:val="00001454"/>
    <w:rsid w:val="0000205D"/>
    <w:rsid w:val="0000219F"/>
    <w:rsid w:val="00003546"/>
    <w:rsid w:val="00003954"/>
    <w:rsid w:val="00003C27"/>
    <w:rsid w:val="00004239"/>
    <w:rsid w:val="0000482D"/>
    <w:rsid w:val="00004C40"/>
    <w:rsid w:val="00004E6B"/>
    <w:rsid w:val="00005603"/>
    <w:rsid w:val="000059C1"/>
    <w:rsid w:val="000061C3"/>
    <w:rsid w:val="00006293"/>
    <w:rsid w:val="0000635F"/>
    <w:rsid w:val="00006D68"/>
    <w:rsid w:val="00007393"/>
    <w:rsid w:val="000074DB"/>
    <w:rsid w:val="000077B4"/>
    <w:rsid w:val="00007C21"/>
    <w:rsid w:val="00010799"/>
    <w:rsid w:val="000109FD"/>
    <w:rsid w:val="00010C19"/>
    <w:rsid w:val="00010C47"/>
    <w:rsid w:val="00010FBE"/>
    <w:rsid w:val="0001126A"/>
    <w:rsid w:val="00012A5D"/>
    <w:rsid w:val="000135A1"/>
    <w:rsid w:val="000135AA"/>
    <w:rsid w:val="0001378C"/>
    <w:rsid w:val="00013C4B"/>
    <w:rsid w:val="00014E25"/>
    <w:rsid w:val="000151BC"/>
    <w:rsid w:val="00015790"/>
    <w:rsid w:val="00015D6A"/>
    <w:rsid w:val="000160D7"/>
    <w:rsid w:val="000164B5"/>
    <w:rsid w:val="00016912"/>
    <w:rsid w:val="00016BE4"/>
    <w:rsid w:val="000177E8"/>
    <w:rsid w:val="00017AA2"/>
    <w:rsid w:val="00017E2C"/>
    <w:rsid w:val="000207E8"/>
    <w:rsid w:val="00020879"/>
    <w:rsid w:val="000209F4"/>
    <w:rsid w:val="00021275"/>
    <w:rsid w:val="0002127D"/>
    <w:rsid w:val="00021618"/>
    <w:rsid w:val="000219C6"/>
    <w:rsid w:val="0002329F"/>
    <w:rsid w:val="00023D2E"/>
    <w:rsid w:val="000247CD"/>
    <w:rsid w:val="00024A1E"/>
    <w:rsid w:val="0002568F"/>
    <w:rsid w:val="00025D7C"/>
    <w:rsid w:val="00026307"/>
    <w:rsid w:val="000271F4"/>
    <w:rsid w:val="000272D6"/>
    <w:rsid w:val="00027786"/>
    <w:rsid w:val="00027B67"/>
    <w:rsid w:val="00027C5A"/>
    <w:rsid w:val="00030185"/>
    <w:rsid w:val="00030805"/>
    <w:rsid w:val="00030A4D"/>
    <w:rsid w:val="00030DE7"/>
    <w:rsid w:val="00030E74"/>
    <w:rsid w:val="00031512"/>
    <w:rsid w:val="00031904"/>
    <w:rsid w:val="00031ADF"/>
    <w:rsid w:val="00031DF4"/>
    <w:rsid w:val="00032814"/>
    <w:rsid w:val="00032897"/>
    <w:rsid w:val="000329B6"/>
    <w:rsid w:val="000334B2"/>
    <w:rsid w:val="000336D0"/>
    <w:rsid w:val="00034735"/>
    <w:rsid w:val="0003504C"/>
    <w:rsid w:val="000357A1"/>
    <w:rsid w:val="00036FD5"/>
    <w:rsid w:val="0004076D"/>
    <w:rsid w:val="000408E6"/>
    <w:rsid w:val="00040B25"/>
    <w:rsid w:val="00041761"/>
    <w:rsid w:val="00041BA1"/>
    <w:rsid w:val="00041BAB"/>
    <w:rsid w:val="0004242F"/>
    <w:rsid w:val="00042E65"/>
    <w:rsid w:val="0004337F"/>
    <w:rsid w:val="000435EA"/>
    <w:rsid w:val="00045186"/>
    <w:rsid w:val="00045BD9"/>
    <w:rsid w:val="00045C76"/>
    <w:rsid w:val="00046F65"/>
    <w:rsid w:val="00047C92"/>
    <w:rsid w:val="00050281"/>
    <w:rsid w:val="000504BA"/>
    <w:rsid w:val="0005105C"/>
    <w:rsid w:val="00052069"/>
    <w:rsid w:val="0005312D"/>
    <w:rsid w:val="00053650"/>
    <w:rsid w:val="00053974"/>
    <w:rsid w:val="00053E39"/>
    <w:rsid w:val="00054916"/>
    <w:rsid w:val="00055344"/>
    <w:rsid w:val="00055478"/>
    <w:rsid w:val="00055BF5"/>
    <w:rsid w:val="00055D52"/>
    <w:rsid w:val="00055EEE"/>
    <w:rsid w:val="00055FBC"/>
    <w:rsid w:val="000564F1"/>
    <w:rsid w:val="00056AA1"/>
    <w:rsid w:val="00056D90"/>
    <w:rsid w:val="00056E3D"/>
    <w:rsid w:val="00057262"/>
    <w:rsid w:val="00057ADC"/>
    <w:rsid w:val="00060831"/>
    <w:rsid w:val="0006097F"/>
    <w:rsid w:val="00060AEC"/>
    <w:rsid w:val="00061E9B"/>
    <w:rsid w:val="000620DC"/>
    <w:rsid w:val="00062200"/>
    <w:rsid w:val="00062480"/>
    <w:rsid w:val="0006300A"/>
    <w:rsid w:val="00063DBC"/>
    <w:rsid w:val="00063F0E"/>
    <w:rsid w:val="0006522D"/>
    <w:rsid w:val="0006552B"/>
    <w:rsid w:val="0006575C"/>
    <w:rsid w:val="00065A50"/>
    <w:rsid w:val="00065AA1"/>
    <w:rsid w:val="00067319"/>
    <w:rsid w:val="00067591"/>
    <w:rsid w:val="00067AAF"/>
    <w:rsid w:val="00067D93"/>
    <w:rsid w:val="000710E6"/>
    <w:rsid w:val="00072041"/>
    <w:rsid w:val="00072ABB"/>
    <w:rsid w:val="00072AC8"/>
    <w:rsid w:val="000730ED"/>
    <w:rsid w:val="00074292"/>
    <w:rsid w:val="00074B5C"/>
    <w:rsid w:val="000757B2"/>
    <w:rsid w:val="000764E4"/>
    <w:rsid w:val="000767CF"/>
    <w:rsid w:val="00076FBD"/>
    <w:rsid w:val="00077387"/>
    <w:rsid w:val="00077970"/>
    <w:rsid w:val="00080734"/>
    <w:rsid w:val="000811B9"/>
    <w:rsid w:val="00081D43"/>
    <w:rsid w:val="0008216A"/>
    <w:rsid w:val="00083B0E"/>
    <w:rsid w:val="00084ACD"/>
    <w:rsid w:val="0008533E"/>
    <w:rsid w:val="00086400"/>
    <w:rsid w:val="00086A37"/>
    <w:rsid w:val="000871D6"/>
    <w:rsid w:val="0008762C"/>
    <w:rsid w:val="00087BD1"/>
    <w:rsid w:val="00087DD1"/>
    <w:rsid w:val="000909DF"/>
    <w:rsid w:val="00090E9A"/>
    <w:rsid w:val="00090EB4"/>
    <w:rsid w:val="00091FA6"/>
    <w:rsid w:val="0009288C"/>
    <w:rsid w:val="000929DE"/>
    <w:rsid w:val="00092D3B"/>
    <w:rsid w:val="00093057"/>
    <w:rsid w:val="00093307"/>
    <w:rsid w:val="00093749"/>
    <w:rsid w:val="00094789"/>
    <w:rsid w:val="00094D7C"/>
    <w:rsid w:val="00095CB2"/>
    <w:rsid w:val="0009617C"/>
    <w:rsid w:val="000970EA"/>
    <w:rsid w:val="0009723A"/>
    <w:rsid w:val="00097BAF"/>
    <w:rsid w:val="00097E31"/>
    <w:rsid w:val="000A1000"/>
    <w:rsid w:val="000A2A6F"/>
    <w:rsid w:val="000A2ABD"/>
    <w:rsid w:val="000A3640"/>
    <w:rsid w:val="000A4314"/>
    <w:rsid w:val="000A46FA"/>
    <w:rsid w:val="000A47D9"/>
    <w:rsid w:val="000A4903"/>
    <w:rsid w:val="000A5309"/>
    <w:rsid w:val="000A5406"/>
    <w:rsid w:val="000A5713"/>
    <w:rsid w:val="000A5EA7"/>
    <w:rsid w:val="000A6173"/>
    <w:rsid w:val="000A6748"/>
    <w:rsid w:val="000A731A"/>
    <w:rsid w:val="000A733C"/>
    <w:rsid w:val="000A75A3"/>
    <w:rsid w:val="000A7AD1"/>
    <w:rsid w:val="000A7BBA"/>
    <w:rsid w:val="000A7C8C"/>
    <w:rsid w:val="000A7F3E"/>
    <w:rsid w:val="000B02BD"/>
    <w:rsid w:val="000B0523"/>
    <w:rsid w:val="000B0622"/>
    <w:rsid w:val="000B076B"/>
    <w:rsid w:val="000B1C92"/>
    <w:rsid w:val="000B2A02"/>
    <w:rsid w:val="000B2F5E"/>
    <w:rsid w:val="000B3234"/>
    <w:rsid w:val="000B3B4D"/>
    <w:rsid w:val="000B3E8A"/>
    <w:rsid w:val="000B415C"/>
    <w:rsid w:val="000B4778"/>
    <w:rsid w:val="000B5105"/>
    <w:rsid w:val="000B60D1"/>
    <w:rsid w:val="000B60FF"/>
    <w:rsid w:val="000B78B5"/>
    <w:rsid w:val="000C11E4"/>
    <w:rsid w:val="000C1635"/>
    <w:rsid w:val="000C17BF"/>
    <w:rsid w:val="000C239E"/>
    <w:rsid w:val="000C23A0"/>
    <w:rsid w:val="000C3283"/>
    <w:rsid w:val="000C376A"/>
    <w:rsid w:val="000C40FA"/>
    <w:rsid w:val="000C4443"/>
    <w:rsid w:val="000C4AF7"/>
    <w:rsid w:val="000C4D11"/>
    <w:rsid w:val="000C552A"/>
    <w:rsid w:val="000C56B8"/>
    <w:rsid w:val="000C695E"/>
    <w:rsid w:val="000C6D02"/>
    <w:rsid w:val="000C784B"/>
    <w:rsid w:val="000C7EC5"/>
    <w:rsid w:val="000D063B"/>
    <w:rsid w:val="000D15A2"/>
    <w:rsid w:val="000D20B1"/>
    <w:rsid w:val="000D2117"/>
    <w:rsid w:val="000D264C"/>
    <w:rsid w:val="000D2959"/>
    <w:rsid w:val="000D3BD1"/>
    <w:rsid w:val="000D40A6"/>
    <w:rsid w:val="000D4836"/>
    <w:rsid w:val="000D4FD6"/>
    <w:rsid w:val="000D5246"/>
    <w:rsid w:val="000D582C"/>
    <w:rsid w:val="000D5B1C"/>
    <w:rsid w:val="000D65AA"/>
    <w:rsid w:val="000D6E35"/>
    <w:rsid w:val="000D737B"/>
    <w:rsid w:val="000D7FD3"/>
    <w:rsid w:val="000E00EE"/>
    <w:rsid w:val="000E0341"/>
    <w:rsid w:val="000E07D3"/>
    <w:rsid w:val="000E0BB8"/>
    <w:rsid w:val="000E1A8A"/>
    <w:rsid w:val="000E1E09"/>
    <w:rsid w:val="000E2042"/>
    <w:rsid w:val="000E24B7"/>
    <w:rsid w:val="000E2865"/>
    <w:rsid w:val="000E2B32"/>
    <w:rsid w:val="000E2FCB"/>
    <w:rsid w:val="000E3701"/>
    <w:rsid w:val="000E43D2"/>
    <w:rsid w:val="000E44E7"/>
    <w:rsid w:val="000E46FB"/>
    <w:rsid w:val="000E481F"/>
    <w:rsid w:val="000E4B27"/>
    <w:rsid w:val="000E528E"/>
    <w:rsid w:val="000E6063"/>
    <w:rsid w:val="000E6520"/>
    <w:rsid w:val="000E663A"/>
    <w:rsid w:val="000E6D1F"/>
    <w:rsid w:val="000E7C6E"/>
    <w:rsid w:val="000F0343"/>
    <w:rsid w:val="000F0A6C"/>
    <w:rsid w:val="000F1C15"/>
    <w:rsid w:val="000F1CB6"/>
    <w:rsid w:val="000F1DB5"/>
    <w:rsid w:val="000F1DC5"/>
    <w:rsid w:val="000F2562"/>
    <w:rsid w:val="000F26BD"/>
    <w:rsid w:val="000F3095"/>
    <w:rsid w:val="000F30B3"/>
    <w:rsid w:val="000F5112"/>
    <w:rsid w:val="000F53F6"/>
    <w:rsid w:val="000F55CA"/>
    <w:rsid w:val="000F5619"/>
    <w:rsid w:val="000F6063"/>
    <w:rsid w:val="000F785D"/>
    <w:rsid w:val="000F79EC"/>
    <w:rsid w:val="00100FCF"/>
    <w:rsid w:val="0010120C"/>
    <w:rsid w:val="0010167D"/>
    <w:rsid w:val="00101B3A"/>
    <w:rsid w:val="00101C49"/>
    <w:rsid w:val="00101EE0"/>
    <w:rsid w:val="00102BC8"/>
    <w:rsid w:val="0010336F"/>
    <w:rsid w:val="00103C62"/>
    <w:rsid w:val="00103D3E"/>
    <w:rsid w:val="001041EA"/>
    <w:rsid w:val="00105BA1"/>
    <w:rsid w:val="00105FD6"/>
    <w:rsid w:val="0010641F"/>
    <w:rsid w:val="001074B7"/>
    <w:rsid w:val="001074EB"/>
    <w:rsid w:val="001078FB"/>
    <w:rsid w:val="00107A74"/>
    <w:rsid w:val="00107F2A"/>
    <w:rsid w:val="001104CB"/>
    <w:rsid w:val="00110526"/>
    <w:rsid w:val="00110F94"/>
    <w:rsid w:val="0011102D"/>
    <w:rsid w:val="00111320"/>
    <w:rsid w:val="00111E3F"/>
    <w:rsid w:val="00111E8A"/>
    <w:rsid w:val="00112401"/>
    <w:rsid w:val="001125BE"/>
    <w:rsid w:val="00112AA2"/>
    <w:rsid w:val="00112F4C"/>
    <w:rsid w:val="001131D7"/>
    <w:rsid w:val="00113B89"/>
    <w:rsid w:val="00114432"/>
    <w:rsid w:val="001155D6"/>
    <w:rsid w:val="0011589F"/>
    <w:rsid w:val="0011685C"/>
    <w:rsid w:val="00116C1A"/>
    <w:rsid w:val="001176AD"/>
    <w:rsid w:val="00117E18"/>
    <w:rsid w:val="00117F3F"/>
    <w:rsid w:val="00120DCB"/>
    <w:rsid w:val="00120F38"/>
    <w:rsid w:val="00120F87"/>
    <w:rsid w:val="0012243B"/>
    <w:rsid w:val="001225B4"/>
    <w:rsid w:val="00123022"/>
    <w:rsid w:val="0012385C"/>
    <w:rsid w:val="00123873"/>
    <w:rsid w:val="00123BB1"/>
    <w:rsid w:val="00123D4D"/>
    <w:rsid w:val="00124E4A"/>
    <w:rsid w:val="00125FD4"/>
    <w:rsid w:val="0013019B"/>
    <w:rsid w:val="00130C91"/>
    <w:rsid w:val="00130C9D"/>
    <w:rsid w:val="00130F83"/>
    <w:rsid w:val="001310F9"/>
    <w:rsid w:val="001314CB"/>
    <w:rsid w:val="0013357D"/>
    <w:rsid w:val="00133914"/>
    <w:rsid w:val="00133B6E"/>
    <w:rsid w:val="00133CFF"/>
    <w:rsid w:val="00134605"/>
    <w:rsid w:val="0013504F"/>
    <w:rsid w:val="00135F40"/>
    <w:rsid w:val="0013618F"/>
    <w:rsid w:val="00136520"/>
    <w:rsid w:val="00137161"/>
    <w:rsid w:val="00137259"/>
    <w:rsid w:val="00137638"/>
    <w:rsid w:val="001404F7"/>
    <w:rsid w:val="00140B1B"/>
    <w:rsid w:val="00140C3B"/>
    <w:rsid w:val="00141683"/>
    <w:rsid w:val="0014223C"/>
    <w:rsid w:val="0014254C"/>
    <w:rsid w:val="00142EE6"/>
    <w:rsid w:val="00144592"/>
    <w:rsid w:val="0014471D"/>
    <w:rsid w:val="001477A3"/>
    <w:rsid w:val="00147A59"/>
    <w:rsid w:val="00150207"/>
    <w:rsid w:val="0015029C"/>
    <w:rsid w:val="00150956"/>
    <w:rsid w:val="0015107E"/>
    <w:rsid w:val="001510D4"/>
    <w:rsid w:val="0015121E"/>
    <w:rsid w:val="00154BAB"/>
    <w:rsid w:val="00154BF5"/>
    <w:rsid w:val="0015511E"/>
    <w:rsid w:val="00156218"/>
    <w:rsid w:val="001562DA"/>
    <w:rsid w:val="00156B0C"/>
    <w:rsid w:val="00156EF6"/>
    <w:rsid w:val="00156FC7"/>
    <w:rsid w:val="001570BF"/>
    <w:rsid w:val="001572E9"/>
    <w:rsid w:val="00157704"/>
    <w:rsid w:val="001577B7"/>
    <w:rsid w:val="00157B71"/>
    <w:rsid w:val="0016232C"/>
    <w:rsid w:val="0016328F"/>
    <w:rsid w:val="0016399C"/>
    <w:rsid w:val="00164487"/>
    <w:rsid w:val="00164A06"/>
    <w:rsid w:val="00165A42"/>
    <w:rsid w:val="00166412"/>
    <w:rsid w:val="001670E0"/>
    <w:rsid w:val="00167383"/>
    <w:rsid w:val="001673BE"/>
    <w:rsid w:val="001704B7"/>
    <w:rsid w:val="00170738"/>
    <w:rsid w:val="00170942"/>
    <w:rsid w:val="00170B4C"/>
    <w:rsid w:val="00171AAF"/>
    <w:rsid w:val="00171B55"/>
    <w:rsid w:val="00172366"/>
    <w:rsid w:val="00172FCF"/>
    <w:rsid w:val="00173973"/>
    <w:rsid w:val="0017456F"/>
    <w:rsid w:val="001747DC"/>
    <w:rsid w:val="001749EC"/>
    <w:rsid w:val="00175C7D"/>
    <w:rsid w:val="001767C7"/>
    <w:rsid w:val="00176903"/>
    <w:rsid w:val="00176BCC"/>
    <w:rsid w:val="00177215"/>
    <w:rsid w:val="00177C60"/>
    <w:rsid w:val="00177DD8"/>
    <w:rsid w:val="00177E2D"/>
    <w:rsid w:val="00177F66"/>
    <w:rsid w:val="0018075E"/>
    <w:rsid w:val="00180794"/>
    <w:rsid w:val="00180EAF"/>
    <w:rsid w:val="0018120D"/>
    <w:rsid w:val="00181ECD"/>
    <w:rsid w:val="00181F44"/>
    <w:rsid w:val="001829CF"/>
    <w:rsid w:val="00182A47"/>
    <w:rsid w:val="00182B95"/>
    <w:rsid w:val="00183585"/>
    <w:rsid w:val="0018366A"/>
    <w:rsid w:val="00183FCD"/>
    <w:rsid w:val="0018433B"/>
    <w:rsid w:val="0018475A"/>
    <w:rsid w:val="00184F65"/>
    <w:rsid w:val="001854EE"/>
    <w:rsid w:val="00185D18"/>
    <w:rsid w:val="00186B91"/>
    <w:rsid w:val="00186D4D"/>
    <w:rsid w:val="00186EBE"/>
    <w:rsid w:val="00186EF1"/>
    <w:rsid w:val="00187B1D"/>
    <w:rsid w:val="001902CD"/>
    <w:rsid w:val="00190635"/>
    <w:rsid w:val="00190B83"/>
    <w:rsid w:val="00190C30"/>
    <w:rsid w:val="00191D9F"/>
    <w:rsid w:val="00192044"/>
    <w:rsid w:val="00192380"/>
    <w:rsid w:val="0019245A"/>
    <w:rsid w:val="00193904"/>
    <w:rsid w:val="001944ED"/>
    <w:rsid w:val="00194F3F"/>
    <w:rsid w:val="0019500E"/>
    <w:rsid w:val="001951CC"/>
    <w:rsid w:val="0019539E"/>
    <w:rsid w:val="00195762"/>
    <w:rsid w:val="00195C16"/>
    <w:rsid w:val="0019712B"/>
    <w:rsid w:val="0019754A"/>
    <w:rsid w:val="00197BBC"/>
    <w:rsid w:val="001A03C1"/>
    <w:rsid w:val="001A064A"/>
    <w:rsid w:val="001A0925"/>
    <w:rsid w:val="001A1182"/>
    <w:rsid w:val="001A19B5"/>
    <w:rsid w:val="001A19EF"/>
    <w:rsid w:val="001A20AD"/>
    <w:rsid w:val="001A20EA"/>
    <w:rsid w:val="001A3041"/>
    <w:rsid w:val="001A4402"/>
    <w:rsid w:val="001A49A0"/>
    <w:rsid w:val="001A5B7A"/>
    <w:rsid w:val="001A6059"/>
    <w:rsid w:val="001A6552"/>
    <w:rsid w:val="001A6811"/>
    <w:rsid w:val="001A6843"/>
    <w:rsid w:val="001A77C9"/>
    <w:rsid w:val="001A7AA5"/>
    <w:rsid w:val="001A7E02"/>
    <w:rsid w:val="001B073E"/>
    <w:rsid w:val="001B082B"/>
    <w:rsid w:val="001B1494"/>
    <w:rsid w:val="001B1AC3"/>
    <w:rsid w:val="001B2A68"/>
    <w:rsid w:val="001B2E80"/>
    <w:rsid w:val="001B3B94"/>
    <w:rsid w:val="001B4628"/>
    <w:rsid w:val="001B4E00"/>
    <w:rsid w:val="001B570D"/>
    <w:rsid w:val="001B5D57"/>
    <w:rsid w:val="001B64A3"/>
    <w:rsid w:val="001B6D39"/>
    <w:rsid w:val="001B72EA"/>
    <w:rsid w:val="001B74A5"/>
    <w:rsid w:val="001B7DFA"/>
    <w:rsid w:val="001B7E65"/>
    <w:rsid w:val="001B7ED5"/>
    <w:rsid w:val="001C0514"/>
    <w:rsid w:val="001C0B33"/>
    <w:rsid w:val="001C1813"/>
    <w:rsid w:val="001C1918"/>
    <w:rsid w:val="001C21FC"/>
    <w:rsid w:val="001C2A62"/>
    <w:rsid w:val="001C3768"/>
    <w:rsid w:val="001C389F"/>
    <w:rsid w:val="001C42F3"/>
    <w:rsid w:val="001C4319"/>
    <w:rsid w:val="001C4C7C"/>
    <w:rsid w:val="001C7375"/>
    <w:rsid w:val="001D02F2"/>
    <w:rsid w:val="001D0327"/>
    <w:rsid w:val="001D0B0C"/>
    <w:rsid w:val="001D0C3C"/>
    <w:rsid w:val="001D261C"/>
    <w:rsid w:val="001D26A4"/>
    <w:rsid w:val="001D2DE5"/>
    <w:rsid w:val="001D3EAB"/>
    <w:rsid w:val="001D49A6"/>
    <w:rsid w:val="001D54F1"/>
    <w:rsid w:val="001D586A"/>
    <w:rsid w:val="001D5B12"/>
    <w:rsid w:val="001D62FD"/>
    <w:rsid w:val="001D65B8"/>
    <w:rsid w:val="001D6CB9"/>
    <w:rsid w:val="001D78DC"/>
    <w:rsid w:val="001E03AA"/>
    <w:rsid w:val="001E03F0"/>
    <w:rsid w:val="001E0980"/>
    <w:rsid w:val="001E0C66"/>
    <w:rsid w:val="001E0E2F"/>
    <w:rsid w:val="001E24F4"/>
    <w:rsid w:val="001E2B14"/>
    <w:rsid w:val="001E2FDE"/>
    <w:rsid w:val="001E3667"/>
    <w:rsid w:val="001E5920"/>
    <w:rsid w:val="001E5B1D"/>
    <w:rsid w:val="001E6532"/>
    <w:rsid w:val="001E65C2"/>
    <w:rsid w:val="001E6917"/>
    <w:rsid w:val="001E6BDD"/>
    <w:rsid w:val="001E7CD7"/>
    <w:rsid w:val="001F090B"/>
    <w:rsid w:val="001F0B2E"/>
    <w:rsid w:val="001F0F22"/>
    <w:rsid w:val="001F233B"/>
    <w:rsid w:val="001F2624"/>
    <w:rsid w:val="001F26FE"/>
    <w:rsid w:val="001F2E16"/>
    <w:rsid w:val="001F318D"/>
    <w:rsid w:val="001F3318"/>
    <w:rsid w:val="001F3441"/>
    <w:rsid w:val="001F3CF0"/>
    <w:rsid w:val="001F40F8"/>
    <w:rsid w:val="001F4D64"/>
    <w:rsid w:val="001F4E45"/>
    <w:rsid w:val="001F5403"/>
    <w:rsid w:val="001F544B"/>
    <w:rsid w:val="001F56CC"/>
    <w:rsid w:val="001F587B"/>
    <w:rsid w:val="001F58F2"/>
    <w:rsid w:val="001F7021"/>
    <w:rsid w:val="001F7812"/>
    <w:rsid w:val="001F7E23"/>
    <w:rsid w:val="002000DA"/>
    <w:rsid w:val="0020033A"/>
    <w:rsid w:val="0020035F"/>
    <w:rsid w:val="00200C68"/>
    <w:rsid w:val="00200D31"/>
    <w:rsid w:val="0020422B"/>
    <w:rsid w:val="002043D8"/>
    <w:rsid w:val="00204497"/>
    <w:rsid w:val="0020466F"/>
    <w:rsid w:val="0020497C"/>
    <w:rsid w:val="002049BF"/>
    <w:rsid w:val="00204B3C"/>
    <w:rsid w:val="002052F0"/>
    <w:rsid w:val="00205649"/>
    <w:rsid w:val="00205B56"/>
    <w:rsid w:val="00206548"/>
    <w:rsid w:val="0020690A"/>
    <w:rsid w:val="00206DD6"/>
    <w:rsid w:val="0020776B"/>
    <w:rsid w:val="00210DFE"/>
    <w:rsid w:val="00211683"/>
    <w:rsid w:val="0021292A"/>
    <w:rsid w:val="002129C7"/>
    <w:rsid w:val="00212DCD"/>
    <w:rsid w:val="00213579"/>
    <w:rsid w:val="002139BE"/>
    <w:rsid w:val="00214705"/>
    <w:rsid w:val="002155D0"/>
    <w:rsid w:val="002176A0"/>
    <w:rsid w:val="00220E6B"/>
    <w:rsid w:val="00221B34"/>
    <w:rsid w:val="0022228C"/>
    <w:rsid w:val="00222501"/>
    <w:rsid w:val="00222CC0"/>
    <w:rsid w:val="00223735"/>
    <w:rsid w:val="00223860"/>
    <w:rsid w:val="002240CB"/>
    <w:rsid w:val="002247B3"/>
    <w:rsid w:val="00224BA7"/>
    <w:rsid w:val="00224F73"/>
    <w:rsid w:val="0022553C"/>
    <w:rsid w:val="002256CC"/>
    <w:rsid w:val="0022594C"/>
    <w:rsid w:val="002261E5"/>
    <w:rsid w:val="002264FB"/>
    <w:rsid w:val="002270A5"/>
    <w:rsid w:val="00227706"/>
    <w:rsid w:val="00227793"/>
    <w:rsid w:val="00227D41"/>
    <w:rsid w:val="00230200"/>
    <w:rsid w:val="00230388"/>
    <w:rsid w:val="002316CC"/>
    <w:rsid w:val="00231763"/>
    <w:rsid w:val="002322E3"/>
    <w:rsid w:val="002335FF"/>
    <w:rsid w:val="00233A37"/>
    <w:rsid w:val="00233F86"/>
    <w:rsid w:val="00234D77"/>
    <w:rsid w:val="002350AD"/>
    <w:rsid w:val="0023513F"/>
    <w:rsid w:val="00235325"/>
    <w:rsid w:val="0023583D"/>
    <w:rsid w:val="00235BF0"/>
    <w:rsid w:val="00236AF6"/>
    <w:rsid w:val="00237898"/>
    <w:rsid w:val="002379EF"/>
    <w:rsid w:val="00241395"/>
    <w:rsid w:val="00241C9C"/>
    <w:rsid w:val="00242254"/>
    <w:rsid w:val="00242BE2"/>
    <w:rsid w:val="00242D0F"/>
    <w:rsid w:val="002433D5"/>
    <w:rsid w:val="00243646"/>
    <w:rsid w:val="00243A82"/>
    <w:rsid w:val="0024623F"/>
    <w:rsid w:val="002466F7"/>
    <w:rsid w:val="0024682E"/>
    <w:rsid w:val="002471E2"/>
    <w:rsid w:val="002502BB"/>
    <w:rsid w:val="00250917"/>
    <w:rsid w:val="00250C70"/>
    <w:rsid w:val="00252028"/>
    <w:rsid w:val="00252846"/>
    <w:rsid w:val="00252C14"/>
    <w:rsid w:val="00252D1E"/>
    <w:rsid w:val="002537C1"/>
    <w:rsid w:val="00253D85"/>
    <w:rsid w:val="00253F26"/>
    <w:rsid w:val="00254471"/>
    <w:rsid w:val="002544F1"/>
    <w:rsid w:val="002548DC"/>
    <w:rsid w:val="00254BB7"/>
    <w:rsid w:val="00255579"/>
    <w:rsid w:val="0025696E"/>
    <w:rsid w:val="00256C3E"/>
    <w:rsid w:val="00256DD3"/>
    <w:rsid w:val="00257EC6"/>
    <w:rsid w:val="00260B62"/>
    <w:rsid w:val="00260F65"/>
    <w:rsid w:val="00261250"/>
    <w:rsid w:val="002615BB"/>
    <w:rsid w:val="00261971"/>
    <w:rsid w:val="00262692"/>
    <w:rsid w:val="002626E8"/>
    <w:rsid w:val="00264560"/>
    <w:rsid w:val="002645AC"/>
    <w:rsid w:val="00264CC4"/>
    <w:rsid w:val="00265153"/>
    <w:rsid w:val="002651F2"/>
    <w:rsid w:val="0026565A"/>
    <w:rsid w:val="00266971"/>
    <w:rsid w:val="00266F53"/>
    <w:rsid w:val="00267501"/>
    <w:rsid w:val="00267E58"/>
    <w:rsid w:val="00267F35"/>
    <w:rsid w:val="00270276"/>
    <w:rsid w:val="002706CA"/>
    <w:rsid w:val="00270918"/>
    <w:rsid w:val="002717BB"/>
    <w:rsid w:val="002718A3"/>
    <w:rsid w:val="00271A1E"/>
    <w:rsid w:val="00273351"/>
    <w:rsid w:val="00273503"/>
    <w:rsid w:val="0027364A"/>
    <w:rsid w:val="00273C21"/>
    <w:rsid w:val="00274A48"/>
    <w:rsid w:val="00274A84"/>
    <w:rsid w:val="002758BA"/>
    <w:rsid w:val="0027595B"/>
    <w:rsid w:val="00275F6F"/>
    <w:rsid w:val="00276EB1"/>
    <w:rsid w:val="0027765D"/>
    <w:rsid w:val="002804A0"/>
    <w:rsid w:val="0028073D"/>
    <w:rsid w:val="0028116B"/>
    <w:rsid w:val="002818A5"/>
    <w:rsid w:val="002820E0"/>
    <w:rsid w:val="0028220B"/>
    <w:rsid w:val="0028234C"/>
    <w:rsid w:val="002828C1"/>
    <w:rsid w:val="00283C1B"/>
    <w:rsid w:val="0028529C"/>
    <w:rsid w:val="00285705"/>
    <w:rsid w:val="00285EF8"/>
    <w:rsid w:val="002861E1"/>
    <w:rsid w:val="002861F2"/>
    <w:rsid w:val="00286487"/>
    <w:rsid w:val="00286FCE"/>
    <w:rsid w:val="00290136"/>
    <w:rsid w:val="00290379"/>
    <w:rsid w:val="002903E4"/>
    <w:rsid w:val="00290BF2"/>
    <w:rsid w:val="00292837"/>
    <w:rsid w:val="00293EA9"/>
    <w:rsid w:val="0029493D"/>
    <w:rsid w:val="0029527C"/>
    <w:rsid w:val="0029581F"/>
    <w:rsid w:val="00295A87"/>
    <w:rsid w:val="00297FCB"/>
    <w:rsid w:val="002A0987"/>
    <w:rsid w:val="002A0D76"/>
    <w:rsid w:val="002A23CA"/>
    <w:rsid w:val="002A31D9"/>
    <w:rsid w:val="002A3D52"/>
    <w:rsid w:val="002A5673"/>
    <w:rsid w:val="002A591E"/>
    <w:rsid w:val="002A61B9"/>
    <w:rsid w:val="002A6D7B"/>
    <w:rsid w:val="002A6EF2"/>
    <w:rsid w:val="002A718C"/>
    <w:rsid w:val="002A7EC2"/>
    <w:rsid w:val="002B022F"/>
    <w:rsid w:val="002B040D"/>
    <w:rsid w:val="002B08A6"/>
    <w:rsid w:val="002B10D4"/>
    <w:rsid w:val="002B193D"/>
    <w:rsid w:val="002B1CB5"/>
    <w:rsid w:val="002B2731"/>
    <w:rsid w:val="002B2AE3"/>
    <w:rsid w:val="002B2BE4"/>
    <w:rsid w:val="002B2FC3"/>
    <w:rsid w:val="002B38DE"/>
    <w:rsid w:val="002B3BBB"/>
    <w:rsid w:val="002B424C"/>
    <w:rsid w:val="002B4E77"/>
    <w:rsid w:val="002B4EC3"/>
    <w:rsid w:val="002B6222"/>
    <w:rsid w:val="002B6233"/>
    <w:rsid w:val="002B62D1"/>
    <w:rsid w:val="002B6C18"/>
    <w:rsid w:val="002B7F3D"/>
    <w:rsid w:val="002C057F"/>
    <w:rsid w:val="002C0ABF"/>
    <w:rsid w:val="002C153E"/>
    <w:rsid w:val="002C1635"/>
    <w:rsid w:val="002C20E3"/>
    <w:rsid w:val="002C21D8"/>
    <w:rsid w:val="002C2693"/>
    <w:rsid w:val="002C275A"/>
    <w:rsid w:val="002C28F3"/>
    <w:rsid w:val="002C3166"/>
    <w:rsid w:val="002C32CF"/>
    <w:rsid w:val="002C5379"/>
    <w:rsid w:val="002C56C8"/>
    <w:rsid w:val="002C59EA"/>
    <w:rsid w:val="002C5D13"/>
    <w:rsid w:val="002C60CF"/>
    <w:rsid w:val="002C6FD9"/>
    <w:rsid w:val="002C70BE"/>
    <w:rsid w:val="002D0A4B"/>
    <w:rsid w:val="002D10E0"/>
    <w:rsid w:val="002D1FC0"/>
    <w:rsid w:val="002D2FDD"/>
    <w:rsid w:val="002D370D"/>
    <w:rsid w:val="002D37AC"/>
    <w:rsid w:val="002D3DDE"/>
    <w:rsid w:val="002D4165"/>
    <w:rsid w:val="002D41BE"/>
    <w:rsid w:val="002D4892"/>
    <w:rsid w:val="002D5967"/>
    <w:rsid w:val="002D64A5"/>
    <w:rsid w:val="002D7C04"/>
    <w:rsid w:val="002E055C"/>
    <w:rsid w:val="002E08F3"/>
    <w:rsid w:val="002E0AB3"/>
    <w:rsid w:val="002E0F49"/>
    <w:rsid w:val="002E1421"/>
    <w:rsid w:val="002E1B30"/>
    <w:rsid w:val="002E355D"/>
    <w:rsid w:val="002E3EDD"/>
    <w:rsid w:val="002E4746"/>
    <w:rsid w:val="002E49EE"/>
    <w:rsid w:val="002E53FC"/>
    <w:rsid w:val="002E5514"/>
    <w:rsid w:val="002E6348"/>
    <w:rsid w:val="002E6BD0"/>
    <w:rsid w:val="002E7E10"/>
    <w:rsid w:val="002F104E"/>
    <w:rsid w:val="002F10F2"/>
    <w:rsid w:val="002F12FE"/>
    <w:rsid w:val="002F1438"/>
    <w:rsid w:val="002F21B8"/>
    <w:rsid w:val="002F240B"/>
    <w:rsid w:val="002F292F"/>
    <w:rsid w:val="002F2CA5"/>
    <w:rsid w:val="002F2D59"/>
    <w:rsid w:val="002F3005"/>
    <w:rsid w:val="002F3A22"/>
    <w:rsid w:val="002F3BA6"/>
    <w:rsid w:val="002F3C85"/>
    <w:rsid w:val="002F52A6"/>
    <w:rsid w:val="002F5386"/>
    <w:rsid w:val="002F58FD"/>
    <w:rsid w:val="002F5B9C"/>
    <w:rsid w:val="002F5DE1"/>
    <w:rsid w:val="002F6207"/>
    <w:rsid w:val="002F6DFE"/>
    <w:rsid w:val="002F6EAE"/>
    <w:rsid w:val="002F7101"/>
    <w:rsid w:val="002F7186"/>
    <w:rsid w:val="0030081F"/>
    <w:rsid w:val="0030125B"/>
    <w:rsid w:val="00301B38"/>
    <w:rsid w:val="00301C41"/>
    <w:rsid w:val="00301C4A"/>
    <w:rsid w:val="003028AD"/>
    <w:rsid w:val="00302B42"/>
    <w:rsid w:val="00302ED0"/>
    <w:rsid w:val="0030359A"/>
    <w:rsid w:val="0030431F"/>
    <w:rsid w:val="0030460F"/>
    <w:rsid w:val="00304620"/>
    <w:rsid w:val="00304990"/>
    <w:rsid w:val="00304B10"/>
    <w:rsid w:val="00304B9C"/>
    <w:rsid w:val="00305511"/>
    <w:rsid w:val="003063E4"/>
    <w:rsid w:val="00306B37"/>
    <w:rsid w:val="00306BE7"/>
    <w:rsid w:val="0030774A"/>
    <w:rsid w:val="00307962"/>
    <w:rsid w:val="00307A4B"/>
    <w:rsid w:val="00307DFA"/>
    <w:rsid w:val="00310297"/>
    <w:rsid w:val="003104FE"/>
    <w:rsid w:val="00310D52"/>
    <w:rsid w:val="00311B15"/>
    <w:rsid w:val="00311BEE"/>
    <w:rsid w:val="00313207"/>
    <w:rsid w:val="00313350"/>
    <w:rsid w:val="0031343E"/>
    <w:rsid w:val="0031359D"/>
    <w:rsid w:val="003138E8"/>
    <w:rsid w:val="003145A4"/>
    <w:rsid w:val="00314DAD"/>
    <w:rsid w:val="00314F49"/>
    <w:rsid w:val="00315C85"/>
    <w:rsid w:val="00315F97"/>
    <w:rsid w:val="00317012"/>
    <w:rsid w:val="00317357"/>
    <w:rsid w:val="00317BE9"/>
    <w:rsid w:val="00317D20"/>
    <w:rsid w:val="00320018"/>
    <w:rsid w:val="003205A2"/>
    <w:rsid w:val="00320D73"/>
    <w:rsid w:val="00320EF5"/>
    <w:rsid w:val="003219AB"/>
    <w:rsid w:val="00323202"/>
    <w:rsid w:val="003238B3"/>
    <w:rsid w:val="00323A0A"/>
    <w:rsid w:val="00323D9D"/>
    <w:rsid w:val="003246DA"/>
    <w:rsid w:val="00324E4E"/>
    <w:rsid w:val="0032507C"/>
    <w:rsid w:val="003250CE"/>
    <w:rsid w:val="00325521"/>
    <w:rsid w:val="003255DB"/>
    <w:rsid w:val="00325BEA"/>
    <w:rsid w:val="00325E17"/>
    <w:rsid w:val="00325E4D"/>
    <w:rsid w:val="003265DC"/>
    <w:rsid w:val="00326645"/>
    <w:rsid w:val="00326973"/>
    <w:rsid w:val="00327652"/>
    <w:rsid w:val="00327A2E"/>
    <w:rsid w:val="00327DD4"/>
    <w:rsid w:val="00327F1A"/>
    <w:rsid w:val="00330430"/>
    <w:rsid w:val="003313C6"/>
    <w:rsid w:val="00331DF2"/>
    <w:rsid w:val="00331FF3"/>
    <w:rsid w:val="0033220F"/>
    <w:rsid w:val="003323D4"/>
    <w:rsid w:val="00334A7B"/>
    <w:rsid w:val="00335A40"/>
    <w:rsid w:val="00335E85"/>
    <w:rsid w:val="00337135"/>
    <w:rsid w:val="00337548"/>
    <w:rsid w:val="00337708"/>
    <w:rsid w:val="00340CA9"/>
    <w:rsid w:val="003411B8"/>
    <w:rsid w:val="0034121D"/>
    <w:rsid w:val="003416E1"/>
    <w:rsid w:val="00341DED"/>
    <w:rsid w:val="0034292B"/>
    <w:rsid w:val="00343D94"/>
    <w:rsid w:val="00344876"/>
    <w:rsid w:val="003449E7"/>
    <w:rsid w:val="00346385"/>
    <w:rsid w:val="003478E2"/>
    <w:rsid w:val="003479E5"/>
    <w:rsid w:val="00347B20"/>
    <w:rsid w:val="00347BC8"/>
    <w:rsid w:val="00350F66"/>
    <w:rsid w:val="00350F9D"/>
    <w:rsid w:val="0035100C"/>
    <w:rsid w:val="00351022"/>
    <w:rsid w:val="003515A3"/>
    <w:rsid w:val="003518BC"/>
    <w:rsid w:val="00352101"/>
    <w:rsid w:val="00352BC3"/>
    <w:rsid w:val="003539BD"/>
    <w:rsid w:val="00353A61"/>
    <w:rsid w:val="00354D7D"/>
    <w:rsid w:val="00356840"/>
    <w:rsid w:val="00357325"/>
    <w:rsid w:val="003578F9"/>
    <w:rsid w:val="0035796E"/>
    <w:rsid w:val="00357A7C"/>
    <w:rsid w:val="00357E67"/>
    <w:rsid w:val="0036026B"/>
    <w:rsid w:val="00360480"/>
    <w:rsid w:val="003610E1"/>
    <w:rsid w:val="00361347"/>
    <w:rsid w:val="003613AC"/>
    <w:rsid w:val="0036187E"/>
    <w:rsid w:val="003624C6"/>
    <w:rsid w:val="0036275D"/>
    <w:rsid w:val="00362A05"/>
    <w:rsid w:val="0036315C"/>
    <w:rsid w:val="003639A7"/>
    <w:rsid w:val="00363C39"/>
    <w:rsid w:val="00364EC3"/>
    <w:rsid w:val="00365CD2"/>
    <w:rsid w:val="00366624"/>
    <w:rsid w:val="00370622"/>
    <w:rsid w:val="0037237D"/>
    <w:rsid w:val="00372536"/>
    <w:rsid w:val="00373B1F"/>
    <w:rsid w:val="00373BB9"/>
    <w:rsid w:val="00374166"/>
    <w:rsid w:val="003747DC"/>
    <w:rsid w:val="00374CFB"/>
    <w:rsid w:val="00374F61"/>
    <w:rsid w:val="003750FF"/>
    <w:rsid w:val="003752CE"/>
    <w:rsid w:val="00375510"/>
    <w:rsid w:val="003758C8"/>
    <w:rsid w:val="00375AFC"/>
    <w:rsid w:val="00375F79"/>
    <w:rsid w:val="00376536"/>
    <w:rsid w:val="00376BE3"/>
    <w:rsid w:val="00376F4D"/>
    <w:rsid w:val="00377378"/>
    <w:rsid w:val="0037787C"/>
    <w:rsid w:val="003778F6"/>
    <w:rsid w:val="00380709"/>
    <w:rsid w:val="00380DB6"/>
    <w:rsid w:val="00380F6C"/>
    <w:rsid w:val="00380FBD"/>
    <w:rsid w:val="003812FC"/>
    <w:rsid w:val="0038131E"/>
    <w:rsid w:val="00382B98"/>
    <w:rsid w:val="0038318F"/>
    <w:rsid w:val="00383E3A"/>
    <w:rsid w:val="00384110"/>
    <w:rsid w:val="00385A47"/>
    <w:rsid w:val="00385CC0"/>
    <w:rsid w:val="00385DAD"/>
    <w:rsid w:val="003861EE"/>
    <w:rsid w:val="00386732"/>
    <w:rsid w:val="00386EAC"/>
    <w:rsid w:val="00386F80"/>
    <w:rsid w:val="00390169"/>
    <w:rsid w:val="00390597"/>
    <w:rsid w:val="003906DE"/>
    <w:rsid w:val="003907EA"/>
    <w:rsid w:val="00391875"/>
    <w:rsid w:val="003919BB"/>
    <w:rsid w:val="00393005"/>
    <w:rsid w:val="003942F8"/>
    <w:rsid w:val="003948DF"/>
    <w:rsid w:val="00394DE7"/>
    <w:rsid w:val="00394FE1"/>
    <w:rsid w:val="003951D3"/>
    <w:rsid w:val="00395726"/>
    <w:rsid w:val="00395EF5"/>
    <w:rsid w:val="00395FA0"/>
    <w:rsid w:val="0039690E"/>
    <w:rsid w:val="00396B41"/>
    <w:rsid w:val="00397C14"/>
    <w:rsid w:val="00397D9F"/>
    <w:rsid w:val="003A0203"/>
    <w:rsid w:val="003A0596"/>
    <w:rsid w:val="003A090D"/>
    <w:rsid w:val="003A2089"/>
    <w:rsid w:val="003A23AF"/>
    <w:rsid w:val="003A2C2B"/>
    <w:rsid w:val="003A2F3F"/>
    <w:rsid w:val="003A2FDE"/>
    <w:rsid w:val="003A3577"/>
    <w:rsid w:val="003A3741"/>
    <w:rsid w:val="003A4B3A"/>
    <w:rsid w:val="003A6C1B"/>
    <w:rsid w:val="003A73B0"/>
    <w:rsid w:val="003A7A99"/>
    <w:rsid w:val="003B00D0"/>
    <w:rsid w:val="003B036D"/>
    <w:rsid w:val="003B0502"/>
    <w:rsid w:val="003B0944"/>
    <w:rsid w:val="003B0C13"/>
    <w:rsid w:val="003B17F4"/>
    <w:rsid w:val="003B1A8E"/>
    <w:rsid w:val="003B2D82"/>
    <w:rsid w:val="003B2DD3"/>
    <w:rsid w:val="003B3141"/>
    <w:rsid w:val="003B3326"/>
    <w:rsid w:val="003B34C7"/>
    <w:rsid w:val="003B38E1"/>
    <w:rsid w:val="003B51BF"/>
    <w:rsid w:val="003B6EA6"/>
    <w:rsid w:val="003B76E1"/>
    <w:rsid w:val="003B774B"/>
    <w:rsid w:val="003C04B9"/>
    <w:rsid w:val="003C07D3"/>
    <w:rsid w:val="003C0AC3"/>
    <w:rsid w:val="003C164E"/>
    <w:rsid w:val="003C1A81"/>
    <w:rsid w:val="003C1C1A"/>
    <w:rsid w:val="003C2905"/>
    <w:rsid w:val="003C38CE"/>
    <w:rsid w:val="003C3E0C"/>
    <w:rsid w:val="003C4B51"/>
    <w:rsid w:val="003C4E13"/>
    <w:rsid w:val="003C5B7F"/>
    <w:rsid w:val="003C5BDA"/>
    <w:rsid w:val="003C5D32"/>
    <w:rsid w:val="003C73BF"/>
    <w:rsid w:val="003C7A08"/>
    <w:rsid w:val="003D0B03"/>
    <w:rsid w:val="003D0E91"/>
    <w:rsid w:val="003D1A6E"/>
    <w:rsid w:val="003D1C88"/>
    <w:rsid w:val="003D23FB"/>
    <w:rsid w:val="003D35A5"/>
    <w:rsid w:val="003D3819"/>
    <w:rsid w:val="003D3E86"/>
    <w:rsid w:val="003D4E42"/>
    <w:rsid w:val="003D50FA"/>
    <w:rsid w:val="003D55F3"/>
    <w:rsid w:val="003D5D91"/>
    <w:rsid w:val="003D5FAD"/>
    <w:rsid w:val="003D61E6"/>
    <w:rsid w:val="003D6394"/>
    <w:rsid w:val="003D66BB"/>
    <w:rsid w:val="003D6BEC"/>
    <w:rsid w:val="003D731D"/>
    <w:rsid w:val="003D7815"/>
    <w:rsid w:val="003D7831"/>
    <w:rsid w:val="003D7B0E"/>
    <w:rsid w:val="003E0077"/>
    <w:rsid w:val="003E08A2"/>
    <w:rsid w:val="003E08CE"/>
    <w:rsid w:val="003E1247"/>
    <w:rsid w:val="003E1E06"/>
    <w:rsid w:val="003E3747"/>
    <w:rsid w:val="003E41B7"/>
    <w:rsid w:val="003E4479"/>
    <w:rsid w:val="003E4556"/>
    <w:rsid w:val="003E4B6E"/>
    <w:rsid w:val="003E578D"/>
    <w:rsid w:val="003E5CC5"/>
    <w:rsid w:val="003E5F10"/>
    <w:rsid w:val="003E6387"/>
    <w:rsid w:val="003E6704"/>
    <w:rsid w:val="003F0D96"/>
    <w:rsid w:val="003F1769"/>
    <w:rsid w:val="003F2064"/>
    <w:rsid w:val="003F2482"/>
    <w:rsid w:val="003F2AD6"/>
    <w:rsid w:val="003F2D05"/>
    <w:rsid w:val="003F33BD"/>
    <w:rsid w:val="003F3C53"/>
    <w:rsid w:val="003F4094"/>
    <w:rsid w:val="003F44DE"/>
    <w:rsid w:val="003F5C22"/>
    <w:rsid w:val="003F6F7D"/>
    <w:rsid w:val="003F7098"/>
    <w:rsid w:val="003F7D52"/>
    <w:rsid w:val="00402405"/>
    <w:rsid w:val="00402434"/>
    <w:rsid w:val="0040336D"/>
    <w:rsid w:val="00403F95"/>
    <w:rsid w:val="00404710"/>
    <w:rsid w:val="00404C3D"/>
    <w:rsid w:val="0040532A"/>
    <w:rsid w:val="0040541E"/>
    <w:rsid w:val="00405540"/>
    <w:rsid w:val="00405A9C"/>
    <w:rsid w:val="004060BF"/>
    <w:rsid w:val="00407F54"/>
    <w:rsid w:val="00410258"/>
    <w:rsid w:val="004103CD"/>
    <w:rsid w:val="004104FE"/>
    <w:rsid w:val="00410B7A"/>
    <w:rsid w:val="00411707"/>
    <w:rsid w:val="004119E6"/>
    <w:rsid w:val="00411B6A"/>
    <w:rsid w:val="0041213B"/>
    <w:rsid w:val="004125AB"/>
    <w:rsid w:val="00413409"/>
    <w:rsid w:val="00413935"/>
    <w:rsid w:val="00413972"/>
    <w:rsid w:val="00414374"/>
    <w:rsid w:val="00415D4E"/>
    <w:rsid w:val="004177BB"/>
    <w:rsid w:val="00421E21"/>
    <w:rsid w:val="004235D6"/>
    <w:rsid w:val="00423A6C"/>
    <w:rsid w:val="00423AD5"/>
    <w:rsid w:val="00423C63"/>
    <w:rsid w:val="00424944"/>
    <w:rsid w:val="00424CD8"/>
    <w:rsid w:val="0042512B"/>
    <w:rsid w:val="00425BB1"/>
    <w:rsid w:val="0042616E"/>
    <w:rsid w:val="00426C5A"/>
    <w:rsid w:val="00426D48"/>
    <w:rsid w:val="00426F43"/>
    <w:rsid w:val="00426FEC"/>
    <w:rsid w:val="004273B0"/>
    <w:rsid w:val="00427B72"/>
    <w:rsid w:val="00427D7C"/>
    <w:rsid w:val="00427DA5"/>
    <w:rsid w:val="00430BBB"/>
    <w:rsid w:val="00431DCD"/>
    <w:rsid w:val="00431F0D"/>
    <w:rsid w:val="00432E58"/>
    <w:rsid w:val="00432F1C"/>
    <w:rsid w:val="00433181"/>
    <w:rsid w:val="00434539"/>
    <w:rsid w:val="004349C7"/>
    <w:rsid w:val="00434AD5"/>
    <w:rsid w:val="00435051"/>
    <w:rsid w:val="00435A59"/>
    <w:rsid w:val="00435B49"/>
    <w:rsid w:val="004366E3"/>
    <w:rsid w:val="004370FE"/>
    <w:rsid w:val="004374DC"/>
    <w:rsid w:val="00437AC3"/>
    <w:rsid w:val="0044143D"/>
    <w:rsid w:val="00441FB0"/>
    <w:rsid w:val="00442B04"/>
    <w:rsid w:val="00443D6C"/>
    <w:rsid w:val="00443F93"/>
    <w:rsid w:val="00444537"/>
    <w:rsid w:val="00445486"/>
    <w:rsid w:val="00446CEC"/>
    <w:rsid w:val="00447337"/>
    <w:rsid w:val="0044762B"/>
    <w:rsid w:val="00447F5E"/>
    <w:rsid w:val="0045051F"/>
    <w:rsid w:val="00450C7A"/>
    <w:rsid w:val="00451744"/>
    <w:rsid w:val="004524EE"/>
    <w:rsid w:val="00452A18"/>
    <w:rsid w:val="00452F48"/>
    <w:rsid w:val="00453869"/>
    <w:rsid w:val="00453CA5"/>
    <w:rsid w:val="00453EF7"/>
    <w:rsid w:val="00454373"/>
    <w:rsid w:val="0045470A"/>
    <w:rsid w:val="00454960"/>
    <w:rsid w:val="0045561F"/>
    <w:rsid w:val="00456195"/>
    <w:rsid w:val="004569E2"/>
    <w:rsid w:val="00456C0F"/>
    <w:rsid w:val="00457C98"/>
    <w:rsid w:val="00460C03"/>
    <w:rsid w:val="004614AC"/>
    <w:rsid w:val="004617FD"/>
    <w:rsid w:val="004625A5"/>
    <w:rsid w:val="00462CBE"/>
    <w:rsid w:val="00463217"/>
    <w:rsid w:val="0046388D"/>
    <w:rsid w:val="0046512B"/>
    <w:rsid w:val="00466285"/>
    <w:rsid w:val="004673A6"/>
    <w:rsid w:val="0046788F"/>
    <w:rsid w:val="004678DF"/>
    <w:rsid w:val="00467E97"/>
    <w:rsid w:val="00471337"/>
    <w:rsid w:val="0047184F"/>
    <w:rsid w:val="0047196B"/>
    <w:rsid w:val="00472D60"/>
    <w:rsid w:val="00472E68"/>
    <w:rsid w:val="00472F07"/>
    <w:rsid w:val="00473243"/>
    <w:rsid w:val="0047429D"/>
    <w:rsid w:val="0047535C"/>
    <w:rsid w:val="004763BA"/>
    <w:rsid w:val="0047655C"/>
    <w:rsid w:val="0047664E"/>
    <w:rsid w:val="004772E7"/>
    <w:rsid w:val="00477B8E"/>
    <w:rsid w:val="0048105F"/>
    <w:rsid w:val="0048147B"/>
    <w:rsid w:val="00482138"/>
    <w:rsid w:val="00482320"/>
    <w:rsid w:val="00482525"/>
    <w:rsid w:val="004826DC"/>
    <w:rsid w:val="004827A2"/>
    <w:rsid w:val="00482F57"/>
    <w:rsid w:val="004839E8"/>
    <w:rsid w:val="004842B2"/>
    <w:rsid w:val="004843BA"/>
    <w:rsid w:val="004846ED"/>
    <w:rsid w:val="00484836"/>
    <w:rsid w:val="00484D6D"/>
    <w:rsid w:val="0048506D"/>
    <w:rsid w:val="00485292"/>
    <w:rsid w:val="00485458"/>
    <w:rsid w:val="00485612"/>
    <w:rsid w:val="00487A02"/>
    <w:rsid w:val="00487CD0"/>
    <w:rsid w:val="00490EBF"/>
    <w:rsid w:val="00491162"/>
    <w:rsid w:val="004911EE"/>
    <w:rsid w:val="00491578"/>
    <w:rsid w:val="004919E5"/>
    <w:rsid w:val="00492904"/>
    <w:rsid w:val="00492D6E"/>
    <w:rsid w:val="00493116"/>
    <w:rsid w:val="004931DD"/>
    <w:rsid w:val="00493535"/>
    <w:rsid w:val="00493C12"/>
    <w:rsid w:val="00493EF7"/>
    <w:rsid w:val="004940D5"/>
    <w:rsid w:val="004941AD"/>
    <w:rsid w:val="00494972"/>
    <w:rsid w:val="00494B17"/>
    <w:rsid w:val="00494F37"/>
    <w:rsid w:val="00494F85"/>
    <w:rsid w:val="00494FEA"/>
    <w:rsid w:val="004955F5"/>
    <w:rsid w:val="00496200"/>
    <w:rsid w:val="00496383"/>
    <w:rsid w:val="00496B61"/>
    <w:rsid w:val="00496DE7"/>
    <w:rsid w:val="0049741E"/>
    <w:rsid w:val="0049775E"/>
    <w:rsid w:val="00497EC8"/>
    <w:rsid w:val="004A036D"/>
    <w:rsid w:val="004A0778"/>
    <w:rsid w:val="004A0ACC"/>
    <w:rsid w:val="004A0DEF"/>
    <w:rsid w:val="004A11EA"/>
    <w:rsid w:val="004A1D1D"/>
    <w:rsid w:val="004A23AC"/>
    <w:rsid w:val="004A248E"/>
    <w:rsid w:val="004A2BBF"/>
    <w:rsid w:val="004A32D8"/>
    <w:rsid w:val="004A3339"/>
    <w:rsid w:val="004A39BC"/>
    <w:rsid w:val="004A42D4"/>
    <w:rsid w:val="004A48A8"/>
    <w:rsid w:val="004A4974"/>
    <w:rsid w:val="004A4ED6"/>
    <w:rsid w:val="004A50BD"/>
    <w:rsid w:val="004A5E3F"/>
    <w:rsid w:val="004A5FF7"/>
    <w:rsid w:val="004A6252"/>
    <w:rsid w:val="004A6462"/>
    <w:rsid w:val="004A6EC8"/>
    <w:rsid w:val="004A76AF"/>
    <w:rsid w:val="004A774C"/>
    <w:rsid w:val="004A7767"/>
    <w:rsid w:val="004A7988"/>
    <w:rsid w:val="004B0022"/>
    <w:rsid w:val="004B01C2"/>
    <w:rsid w:val="004B0B99"/>
    <w:rsid w:val="004B141C"/>
    <w:rsid w:val="004B1423"/>
    <w:rsid w:val="004B19C8"/>
    <w:rsid w:val="004B1F03"/>
    <w:rsid w:val="004B28AE"/>
    <w:rsid w:val="004B3791"/>
    <w:rsid w:val="004B458F"/>
    <w:rsid w:val="004B53F0"/>
    <w:rsid w:val="004B5861"/>
    <w:rsid w:val="004B59A2"/>
    <w:rsid w:val="004B629D"/>
    <w:rsid w:val="004B6983"/>
    <w:rsid w:val="004B6A81"/>
    <w:rsid w:val="004B6E1C"/>
    <w:rsid w:val="004B6F06"/>
    <w:rsid w:val="004B72A2"/>
    <w:rsid w:val="004B7788"/>
    <w:rsid w:val="004B7F11"/>
    <w:rsid w:val="004C0E06"/>
    <w:rsid w:val="004C212F"/>
    <w:rsid w:val="004C23AC"/>
    <w:rsid w:val="004C3B03"/>
    <w:rsid w:val="004C3B7C"/>
    <w:rsid w:val="004C3F33"/>
    <w:rsid w:val="004C40EA"/>
    <w:rsid w:val="004C482F"/>
    <w:rsid w:val="004C5793"/>
    <w:rsid w:val="004C695F"/>
    <w:rsid w:val="004C6D06"/>
    <w:rsid w:val="004C70B9"/>
    <w:rsid w:val="004C7358"/>
    <w:rsid w:val="004D032E"/>
    <w:rsid w:val="004D07BE"/>
    <w:rsid w:val="004D08D9"/>
    <w:rsid w:val="004D0D87"/>
    <w:rsid w:val="004D0DFD"/>
    <w:rsid w:val="004D129A"/>
    <w:rsid w:val="004D16C6"/>
    <w:rsid w:val="004D1756"/>
    <w:rsid w:val="004D194A"/>
    <w:rsid w:val="004D306B"/>
    <w:rsid w:val="004D3404"/>
    <w:rsid w:val="004D39D4"/>
    <w:rsid w:val="004D3B38"/>
    <w:rsid w:val="004D45D9"/>
    <w:rsid w:val="004D461D"/>
    <w:rsid w:val="004D475B"/>
    <w:rsid w:val="004D54E4"/>
    <w:rsid w:val="004D5567"/>
    <w:rsid w:val="004D5760"/>
    <w:rsid w:val="004D6751"/>
    <w:rsid w:val="004D7673"/>
    <w:rsid w:val="004D77F0"/>
    <w:rsid w:val="004D79F9"/>
    <w:rsid w:val="004E04CC"/>
    <w:rsid w:val="004E116C"/>
    <w:rsid w:val="004E1239"/>
    <w:rsid w:val="004E206F"/>
    <w:rsid w:val="004E2CFB"/>
    <w:rsid w:val="004E554F"/>
    <w:rsid w:val="004E5929"/>
    <w:rsid w:val="004E6522"/>
    <w:rsid w:val="004E74A0"/>
    <w:rsid w:val="004F03D7"/>
    <w:rsid w:val="004F0DB7"/>
    <w:rsid w:val="004F1F0E"/>
    <w:rsid w:val="004F1F71"/>
    <w:rsid w:val="004F2325"/>
    <w:rsid w:val="004F2D51"/>
    <w:rsid w:val="004F2E23"/>
    <w:rsid w:val="004F2FA9"/>
    <w:rsid w:val="004F32AE"/>
    <w:rsid w:val="004F3478"/>
    <w:rsid w:val="004F3C56"/>
    <w:rsid w:val="004F402D"/>
    <w:rsid w:val="004F4DCF"/>
    <w:rsid w:val="004F55B4"/>
    <w:rsid w:val="004F567E"/>
    <w:rsid w:val="004F59E2"/>
    <w:rsid w:val="004F651F"/>
    <w:rsid w:val="004F6D6C"/>
    <w:rsid w:val="004F70BF"/>
    <w:rsid w:val="004F770B"/>
    <w:rsid w:val="004F7B9C"/>
    <w:rsid w:val="00500042"/>
    <w:rsid w:val="00500430"/>
    <w:rsid w:val="005005E4"/>
    <w:rsid w:val="00500E37"/>
    <w:rsid w:val="00500ED6"/>
    <w:rsid w:val="0050119B"/>
    <w:rsid w:val="00501584"/>
    <w:rsid w:val="00501E09"/>
    <w:rsid w:val="00501FBF"/>
    <w:rsid w:val="00502064"/>
    <w:rsid w:val="00502AED"/>
    <w:rsid w:val="00502B46"/>
    <w:rsid w:val="005032C6"/>
    <w:rsid w:val="00504553"/>
    <w:rsid w:val="00504E53"/>
    <w:rsid w:val="00505137"/>
    <w:rsid w:val="00505919"/>
    <w:rsid w:val="00506D0E"/>
    <w:rsid w:val="005073A0"/>
    <w:rsid w:val="00507B38"/>
    <w:rsid w:val="00507CA2"/>
    <w:rsid w:val="00507CDC"/>
    <w:rsid w:val="00507F61"/>
    <w:rsid w:val="0051022F"/>
    <w:rsid w:val="0051024E"/>
    <w:rsid w:val="00510287"/>
    <w:rsid w:val="00510E80"/>
    <w:rsid w:val="005115B9"/>
    <w:rsid w:val="0051182C"/>
    <w:rsid w:val="00511DCE"/>
    <w:rsid w:val="005136D5"/>
    <w:rsid w:val="0051451A"/>
    <w:rsid w:val="00514741"/>
    <w:rsid w:val="00514A2C"/>
    <w:rsid w:val="00514F37"/>
    <w:rsid w:val="0051540A"/>
    <w:rsid w:val="00516794"/>
    <w:rsid w:val="005167CD"/>
    <w:rsid w:val="0051697B"/>
    <w:rsid w:val="00517190"/>
    <w:rsid w:val="0052149A"/>
    <w:rsid w:val="005217B9"/>
    <w:rsid w:val="00521817"/>
    <w:rsid w:val="00521D07"/>
    <w:rsid w:val="00521D8A"/>
    <w:rsid w:val="005224C3"/>
    <w:rsid w:val="005224DB"/>
    <w:rsid w:val="005232A7"/>
    <w:rsid w:val="00526C81"/>
    <w:rsid w:val="00527375"/>
    <w:rsid w:val="00527B09"/>
    <w:rsid w:val="00527C37"/>
    <w:rsid w:val="00527CB9"/>
    <w:rsid w:val="00527F06"/>
    <w:rsid w:val="005301E2"/>
    <w:rsid w:val="00530E66"/>
    <w:rsid w:val="00530E94"/>
    <w:rsid w:val="00531605"/>
    <w:rsid w:val="005327F2"/>
    <w:rsid w:val="00532B3E"/>
    <w:rsid w:val="00532F53"/>
    <w:rsid w:val="0053412C"/>
    <w:rsid w:val="005346C2"/>
    <w:rsid w:val="0053471D"/>
    <w:rsid w:val="00534C3A"/>
    <w:rsid w:val="00534CB0"/>
    <w:rsid w:val="005350A2"/>
    <w:rsid w:val="00535676"/>
    <w:rsid w:val="00535902"/>
    <w:rsid w:val="00536E95"/>
    <w:rsid w:val="00536F9B"/>
    <w:rsid w:val="00537492"/>
    <w:rsid w:val="0054012D"/>
    <w:rsid w:val="00541907"/>
    <w:rsid w:val="00541EB8"/>
    <w:rsid w:val="005424E1"/>
    <w:rsid w:val="005426EB"/>
    <w:rsid w:val="00543141"/>
    <w:rsid w:val="00543673"/>
    <w:rsid w:val="00543916"/>
    <w:rsid w:val="00543F2B"/>
    <w:rsid w:val="00545247"/>
    <w:rsid w:val="00545AD2"/>
    <w:rsid w:val="00545E9F"/>
    <w:rsid w:val="00546083"/>
    <w:rsid w:val="00546A28"/>
    <w:rsid w:val="00547468"/>
    <w:rsid w:val="0054768C"/>
    <w:rsid w:val="00551BC5"/>
    <w:rsid w:val="005522A5"/>
    <w:rsid w:val="00552E23"/>
    <w:rsid w:val="00553518"/>
    <w:rsid w:val="005545EE"/>
    <w:rsid w:val="00554B31"/>
    <w:rsid w:val="00554F11"/>
    <w:rsid w:val="00555BB4"/>
    <w:rsid w:val="005563D0"/>
    <w:rsid w:val="00556641"/>
    <w:rsid w:val="00557B91"/>
    <w:rsid w:val="00560EA7"/>
    <w:rsid w:val="00560F4C"/>
    <w:rsid w:val="0056233C"/>
    <w:rsid w:val="005630B4"/>
    <w:rsid w:val="005630E6"/>
    <w:rsid w:val="00564D1C"/>
    <w:rsid w:val="00565104"/>
    <w:rsid w:val="00565108"/>
    <w:rsid w:val="005654CC"/>
    <w:rsid w:val="00565911"/>
    <w:rsid w:val="00565DAC"/>
    <w:rsid w:val="00570570"/>
    <w:rsid w:val="00570B89"/>
    <w:rsid w:val="0057165B"/>
    <w:rsid w:val="00571F57"/>
    <w:rsid w:val="0057232D"/>
    <w:rsid w:val="00572703"/>
    <w:rsid w:val="00574AE9"/>
    <w:rsid w:val="00575067"/>
    <w:rsid w:val="0057526D"/>
    <w:rsid w:val="005759A8"/>
    <w:rsid w:val="00575F37"/>
    <w:rsid w:val="005765A5"/>
    <w:rsid w:val="00576633"/>
    <w:rsid w:val="00576C86"/>
    <w:rsid w:val="00577F48"/>
    <w:rsid w:val="00580040"/>
    <w:rsid w:val="0058018E"/>
    <w:rsid w:val="005808D4"/>
    <w:rsid w:val="005812F4"/>
    <w:rsid w:val="005813DD"/>
    <w:rsid w:val="00581CB8"/>
    <w:rsid w:val="005827A2"/>
    <w:rsid w:val="005833A9"/>
    <w:rsid w:val="005833F6"/>
    <w:rsid w:val="005836EA"/>
    <w:rsid w:val="00583777"/>
    <w:rsid w:val="00583CE4"/>
    <w:rsid w:val="00584B08"/>
    <w:rsid w:val="005856F7"/>
    <w:rsid w:val="00587258"/>
    <w:rsid w:val="00587EE1"/>
    <w:rsid w:val="00590102"/>
    <w:rsid w:val="00590E04"/>
    <w:rsid w:val="00590EF2"/>
    <w:rsid w:val="00591500"/>
    <w:rsid w:val="00591737"/>
    <w:rsid w:val="0059254E"/>
    <w:rsid w:val="005927F7"/>
    <w:rsid w:val="005930C6"/>
    <w:rsid w:val="00593553"/>
    <w:rsid w:val="00593E51"/>
    <w:rsid w:val="00594318"/>
    <w:rsid w:val="0059486E"/>
    <w:rsid w:val="00594AE6"/>
    <w:rsid w:val="0059523B"/>
    <w:rsid w:val="00596CC5"/>
    <w:rsid w:val="00596DB5"/>
    <w:rsid w:val="005972B3"/>
    <w:rsid w:val="005A1921"/>
    <w:rsid w:val="005A1D82"/>
    <w:rsid w:val="005A24CC"/>
    <w:rsid w:val="005A2E5B"/>
    <w:rsid w:val="005A31AB"/>
    <w:rsid w:val="005A3452"/>
    <w:rsid w:val="005A35DB"/>
    <w:rsid w:val="005A3C3D"/>
    <w:rsid w:val="005A4315"/>
    <w:rsid w:val="005A4A09"/>
    <w:rsid w:val="005A4A51"/>
    <w:rsid w:val="005A4A5B"/>
    <w:rsid w:val="005A56E5"/>
    <w:rsid w:val="005A5AAD"/>
    <w:rsid w:val="005A604B"/>
    <w:rsid w:val="005A6FBC"/>
    <w:rsid w:val="005A76BF"/>
    <w:rsid w:val="005A7997"/>
    <w:rsid w:val="005A7ED4"/>
    <w:rsid w:val="005B010D"/>
    <w:rsid w:val="005B08B3"/>
    <w:rsid w:val="005B153B"/>
    <w:rsid w:val="005B16FE"/>
    <w:rsid w:val="005B1C35"/>
    <w:rsid w:val="005B3AB8"/>
    <w:rsid w:val="005B3C48"/>
    <w:rsid w:val="005B3C89"/>
    <w:rsid w:val="005B3D43"/>
    <w:rsid w:val="005B4525"/>
    <w:rsid w:val="005B58ED"/>
    <w:rsid w:val="005B6B38"/>
    <w:rsid w:val="005B7755"/>
    <w:rsid w:val="005B7BCE"/>
    <w:rsid w:val="005C06D6"/>
    <w:rsid w:val="005C1446"/>
    <w:rsid w:val="005C172D"/>
    <w:rsid w:val="005C195E"/>
    <w:rsid w:val="005C1CFC"/>
    <w:rsid w:val="005C1D4F"/>
    <w:rsid w:val="005C2F9C"/>
    <w:rsid w:val="005C39DA"/>
    <w:rsid w:val="005C39E4"/>
    <w:rsid w:val="005C3D4D"/>
    <w:rsid w:val="005C42EB"/>
    <w:rsid w:val="005C5308"/>
    <w:rsid w:val="005C729F"/>
    <w:rsid w:val="005C7500"/>
    <w:rsid w:val="005C7881"/>
    <w:rsid w:val="005C7EEE"/>
    <w:rsid w:val="005D04BE"/>
    <w:rsid w:val="005D09EA"/>
    <w:rsid w:val="005D0BE9"/>
    <w:rsid w:val="005D0C15"/>
    <w:rsid w:val="005D0FC1"/>
    <w:rsid w:val="005D1814"/>
    <w:rsid w:val="005D2F5B"/>
    <w:rsid w:val="005D3B47"/>
    <w:rsid w:val="005D3D1E"/>
    <w:rsid w:val="005D499F"/>
    <w:rsid w:val="005D4D80"/>
    <w:rsid w:val="005D65E6"/>
    <w:rsid w:val="005D6E4C"/>
    <w:rsid w:val="005D6F45"/>
    <w:rsid w:val="005D7024"/>
    <w:rsid w:val="005D71F0"/>
    <w:rsid w:val="005D7307"/>
    <w:rsid w:val="005D770D"/>
    <w:rsid w:val="005D775A"/>
    <w:rsid w:val="005D7E59"/>
    <w:rsid w:val="005E0505"/>
    <w:rsid w:val="005E19C3"/>
    <w:rsid w:val="005E26BD"/>
    <w:rsid w:val="005E321D"/>
    <w:rsid w:val="005E38D5"/>
    <w:rsid w:val="005E3924"/>
    <w:rsid w:val="005E40D8"/>
    <w:rsid w:val="005E4B91"/>
    <w:rsid w:val="005E50E3"/>
    <w:rsid w:val="005E58EF"/>
    <w:rsid w:val="005E6B9A"/>
    <w:rsid w:val="005E6E4D"/>
    <w:rsid w:val="005E7480"/>
    <w:rsid w:val="005F073A"/>
    <w:rsid w:val="005F0807"/>
    <w:rsid w:val="005F12AE"/>
    <w:rsid w:val="005F17D7"/>
    <w:rsid w:val="005F2729"/>
    <w:rsid w:val="005F3DFB"/>
    <w:rsid w:val="005F47A2"/>
    <w:rsid w:val="005F4B92"/>
    <w:rsid w:val="005F4C3D"/>
    <w:rsid w:val="005F5E68"/>
    <w:rsid w:val="005F6AE1"/>
    <w:rsid w:val="005F70AC"/>
    <w:rsid w:val="005F7248"/>
    <w:rsid w:val="005F72A2"/>
    <w:rsid w:val="005F78E2"/>
    <w:rsid w:val="005F79C7"/>
    <w:rsid w:val="005F7BAD"/>
    <w:rsid w:val="00601810"/>
    <w:rsid w:val="00601BEF"/>
    <w:rsid w:val="0060218E"/>
    <w:rsid w:val="006021B4"/>
    <w:rsid w:val="00602309"/>
    <w:rsid w:val="00602679"/>
    <w:rsid w:val="00602C3E"/>
    <w:rsid w:val="00603230"/>
    <w:rsid w:val="00604281"/>
    <w:rsid w:val="006048E2"/>
    <w:rsid w:val="00605181"/>
    <w:rsid w:val="006055D0"/>
    <w:rsid w:val="00605D98"/>
    <w:rsid w:val="006064C7"/>
    <w:rsid w:val="006065A0"/>
    <w:rsid w:val="006076BE"/>
    <w:rsid w:val="006104F0"/>
    <w:rsid w:val="006108BA"/>
    <w:rsid w:val="00610A88"/>
    <w:rsid w:val="00611539"/>
    <w:rsid w:val="00612409"/>
    <w:rsid w:val="00612EFD"/>
    <w:rsid w:val="00612F7B"/>
    <w:rsid w:val="0061355B"/>
    <w:rsid w:val="006135AF"/>
    <w:rsid w:val="00613BC0"/>
    <w:rsid w:val="00614414"/>
    <w:rsid w:val="00614442"/>
    <w:rsid w:val="00615017"/>
    <w:rsid w:val="00615183"/>
    <w:rsid w:val="00615660"/>
    <w:rsid w:val="006161E8"/>
    <w:rsid w:val="00617138"/>
    <w:rsid w:val="006176A5"/>
    <w:rsid w:val="006207BB"/>
    <w:rsid w:val="00620B35"/>
    <w:rsid w:val="00622659"/>
    <w:rsid w:val="00622B35"/>
    <w:rsid w:val="00623820"/>
    <w:rsid w:val="00623A04"/>
    <w:rsid w:val="00624B8F"/>
    <w:rsid w:val="0062569E"/>
    <w:rsid w:val="00625F3A"/>
    <w:rsid w:val="00626519"/>
    <w:rsid w:val="006268CF"/>
    <w:rsid w:val="00627016"/>
    <w:rsid w:val="00627C33"/>
    <w:rsid w:val="0063112C"/>
    <w:rsid w:val="00631583"/>
    <w:rsid w:val="006316B1"/>
    <w:rsid w:val="006319B0"/>
    <w:rsid w:val="00631F5E"/>
    <w:rsid w:val="00632020"/>
    <w:rsid w:val="00632035"/>
    <w:rsid w:val="00632EB2"/>
    <w:rsid w:val="0063450A"/>
    <w:rsid w:val="00634682"/>
    <w:rsid w:val="0063496D"/>
    <w:rsid w:val="00636054"/>
    <w:rsid w:val="00636608"/>
    <w:rsid w:val="006379DA"/>
    <w:rsid w:val="00637DBA"/>
    <w:rsid w:val="00640749"/>
    <w:rsid w:val="00641952"/>
    <w:rsid w:val="00642778"/>
    <w:rsid w:val="00642D03"/>
    <w:rsid w:val="0064420F"/>
    <w:rsid w:val="0064465A"/>
    <w:rsid w:val="00644C17"/>
    <w:rsid w:val="00644EAE"/>
    <w:rsid w:val="00645082"/>
    <w:rsid w:val="00645558"/>
    <w:rsid w:val="00645BC6"/>
    <w:rsid w:val="0064604D"/>
    <w:rsid w:val="0064691A"/>
    <w:rsid w:val="006471F4"/>
    <w:rsid w:val="0064776F"/>
    <w:rsid w:val="00647774"/>
    <w:rsid w:val="00647B9B"/>
    <w:rsid w:val="00647DAB"/>
    <w:rsid w:val="006501A3"/>
    <w:rsid w:val="0065137C"/>
    <w:rsid w:val="00651781"/>
    <w:rsid w:val="00651941"/>
    <w:rsid w:val="00652316"/>
    <w:rsid w:val="006523AE"/>
    <w:rsid w:val="00653451"/>
    <w:rsid w:val="00653B61"/>
    <w:rsid w:val="0065412C"/>
    <w:rsid w:val="00654636"/>
    <w:rsid w:val="00654B98"/>
    <w:rsid w:val="00654DFA"/>
    <w:rsid w:val="00655457"/>
    <w:rsid w:val="0065554D"/>
    <w:rsid w:val="006556C3"/>
    <w:rsid w:val="00655F1F"/>
    <w:rsid w:val="0065674E"/>
    <w:rsid w:val="00656A55"/>
    <w:rsid w:val="00657332"/>
    <w:rsid w:val="0065752D"/>
    <w:rsid w:val="006577E1"/>
    <w:rsid w:val="006578CB"/>
    <w:rsid w:val="00657907"/>
    <w:rsid w:val="006607FE"/>
    <w:rsid w:val="00660F52"/>
    <w:rsid w:val="006611CF"/>
    <w:rsid w:val="006613EF"/>
    <w:rsid w:val="00661778"/>
    <w:rsid w:val="0066188C"/>
    <w:rsid w:val="00662A79"/>
    <w:rsid w:val="00663D7D"/>
    <w:rsid w:val="00663D90"/>
    <w:rsid w:val="0066402D"/>
    <w:rsid w:val="006649BB"/>
    <w:rsid w:val="00664B4A"/>
    <w:rsid w:val="006656B6"/>
    <w:rsid w:val="00665B01"/>
    <w:rsid w:val="00665F63"/>
    <w:rsid w:val="00666434"/>
    <w:rsid w:val="006666B4"/>
    <w:rsid w:val="00667052"/>
    <w:rsid w:val="00667476"/>
    <w:rsid w:val="006674B7"/>
    <w:rsid w:val="00667FE1"/>
    <w:rsid w:val="006700B0"/>
    <w:rsid w:val="00670441"/>
    <w:rsid w:val="006704DE"/>
    <w:rsid w:val="006712FF"/>
    <w:rsid w:val="00671FCE"/>
    <w:rsid w:val="00672048"/>
    <w:rsid w:val="00672125"/>
    <w:rsid w:val="0067248C"/>
    <w:rsid w:val="00672912"/>
    <w:rsid w:val="0067356F"/>
    <w:rsid w:val="00673819"/>
    <w:rsid w:val="00673C32"/>
    <w:rsid w:val="00673F37"/>
    <w:rsid w:val="00674278"/>
    <w:rsid w:val="00674FD7"/>
    <w:rsid w:val="006752CF"/>
    <w:rsid w:val="006761CE"/>
    <w:rsid w:val="0067660C"/>
    <w:rsid w:val="006767BF"/>
    <w:rsid w:val="00676B1E"/>
    <w:rsid w:val="00676F8A"/>
    <w:rsid w:val="00677C28"/>
    <w:rsid w:val="006806C1"/>
    <w:rsid w:val="00680842"/>
    <w:rsid w:val="00681135"/>
    <w:rsid w:val="0068174D"/>
    <w:rsid w:val="00681811"/>
    <w:rsid w:val="00681B4D"/>
    <w:rsid w:val="0068337C"/>
    <w:rsid w:val="00683871"/>
    <w:rsid w:val="00684029"/>
    <w:rsid w:val="006846CF"/>
    <w:rsid w:val="00685C2E"/>
    <w:rsid w:val="00685E7A"/>
    <w:rsid w:val="00686910"/>
    <w:rsid w:val="00687C95"/>
    <w:rsid w:val="006903A1"/>
    <w:rsid w:val="006907FA"/>
    <w:rsid w:val="00692932"/>
    <w:rsid w:val="006929F5"/>
    <w:rsid w:val="00692AE7"/>
    <w:rsid w:val="00693641"/>
    <w:rsid w:val="006939AB"/>
    <w:rsid w:val="00693BB4"/>
    <w:rsid w:val="00693E03"/>
    <w:rsid w:val="00695AB2"/>
    <w:rsid w:val="00696725"/>
    <w:rsid w:val="006A0287"/>
    <w:rsid w:val="006A0D2B"/>
    <w:rsid w:val="006A13BB"/>
    <w:rsid w:val="006A1D68"/>
    <w:rsid w:val="006A212B"/>
    <w:rsid w:val="006A2A1A"/>
    <w:rsid w:val="006A30F2"/>
    <w:rsid w:val="006A3B31"/>
    <w:rsid w:val="006A3D39"/>
    <w:rsid w:val="006A3DD3"/>
    <w:rsid w:val="006A5749"/>
    <w:rsid w:val="006A5B50"/>
    <w:rsid w:val="006A612D"/>
    <w:rsid w:val="006A61D4"/>
    <w:rsid w:val="006A6ECA"/>
    <w:rsid w:val="006A70DB"/>
    <w:rsid w:val="006A74A7"/>
    <w:rsid w:val="006A74EE"/>
    <w:rsid w:val="006A7572"/>
    <w:rsid w:val="006A76B7"/>
    <w:rsid w:val="006B0357"/>
    <w:rsid w:val="006B2094"/>
    <w:rsid w:val="006B2B86"/>
    <w:rsid w:val="006B3FD7"/>
    <w:rsid w:val="006B40B7"/>
    <w:rsid w:val="006B42D0"/>
    <w:rsid w:val="006B4453"/>
    <w:rsid w:val="006B4B9B"/>
    <w:rsid w:val="006B4EEA"/>
    <w:rsid w:val="006B5AA3"/>
    <w:rsid w:val="006B5BD8"/>
    <w:rsid w:val="006B74D1"/>
    <w:rsid w:val="006B76B9"/>
    <w:rsid w:val="006B7C48"/>
    <w:rsid w:val="006C0450"/>
    <w:rsid w:val="006C0680"/>
    <w:rsid w:val="006C07ED"/>
    <w:rsid w:val="006C12A8"/>
    <w:rsid w:val="006C1549"/>
    <w:rsid w:val="006C1E78"/>
    <w:rsid w:val="006C3303"/>
    <w:rsid w:val="006C3BE1"/>
    <w:rsid w:val="006C4439"/>
    <w:rsid w:val="006C6274"/>
    <w:rsid w:val="006C6685"/>
    <w:rsid w:val="006C6B40"/>
    <w:rsid w:val="006C7B30"/>
    <w:rsid w:val="006D0954"/>
    <w:rsid w:val="006D1F36"/>
    <w:rsid w:val="006D218E"/>
    <w:rsid w:val="006D23E9"/>
    <w:rsid w:val="006D3A99"/>
    <w:rsid w:val="006D3D20"/>
    <w:rsid w:val="006D41A4"/>
    <w:rsid w:val="006D43FB"/>
    <w:rsid w:val="006D4D8D"/>
    <w:rsid w:val="006D4DCF"/>
    <w:rsid w:val="006D5694"/>
    <w:rsid w:val="006D5770"/>
    <w:rsid w:val="006D581D"/>
    <w:rsid w:val="006D5E5D"/>
    <w:rsid w:val="006D64BF"/>
    <w:rsid w:val="006D65A1"/>
    <w:rsid w:val="006D67D7"/>
    <w:rsid w:val="006D6FF9"/>
    <w:rsid w:val="006D7414"/>
    <w:rsid w:val="006D7A69"/>
    <w:rsid w:val="006D7D27"/>
    <w:rsid w:val="006D7E0A"/>
    <w:rsid w:val="006E1690"/>
    <w:rsid w:val="006E1E55"/>
    <w:rsid w:val="006E3BBF"/>
    <w:rsid w:val="006E4011"/>
    <w:rsid w:val="006E49AA"/>
    <w:rsid w:val="006E662F"/>
    <w:rsid w:val="006E70CE"/>
    <w:rsid w:val="006F0B2B"/>
    <w:rsid w:val="006F1005"/>
    <w:rsid w:val="006F1B01"/>
    <w:rsid w:val="006F282D"/>
    <w:rsid w:val="006F2E09"/>
    <w:rsid w:val="006F47AC"/>
    <w:rsid w:val="006F49E4"/>
    <w:rsid w:val="006F5277"/>
    <w:rsid w:val="006F788C"/>
    <w:rsid w:val="007001E1"/>
    <w:rsid w:val="00700BD2"/>
    <w:rsid w:val="007011D6"/>
    <w:rsid w:val="00701CC6"/>
    <w:rsid w:val="00702266"/>
    <w:rsid w:val="00704083"/>
    <w:rsid w:val="00704201"/>
    <w:rsid w:val="00704944"/>
    <w:rsid w:val="00704CB6"/>
    <w:rsid w:val="007051C1"/>
    <w:rsid w:val="0070578E"/>
    <w:rsid w:val="00705B8E"/>
    <w:rsid w:val="0070673B"/>
    <w:rsid w:val="00706849"/>
    <w:rsid w:val="00707DBE"/>
    <w:rsid w:val="00710096"/>
    <w:rsid w:val="00710E94"/>
    <w:rsid w:val="007111DC"/>
    <w:rsid w:val="0071165F"/>
    <w:rsid w:val="007118E9"/>
    <w:rsid w:val="007118F1"/>
    <w:rsid w:val="00713869"/>
    <w:rsid w:val="007168B2"/>
    <w:rsid w:val="00716AAF"/>
    <w:rsid w:val="00716B43"/>
    <w:rsid w:val="00716F05"/>
    <w:rsid w:val="00717417"/>
    <w:rsid w:val="00717578"/>
    <w:rsid w:val="00720F30"/>
    <w:rsid w:val="007210B3"/>
    <w:rsid w:val="007214C7"/>
    <w:rsid w:val="00721A9F"/>
    <w:rsid w:val="00722BC8"/>
    <w:rsid w:val="007230DE"/>
    <w:rsid w:val="00723277"/>
    <w:rsid w:val="007237E5"/>
    <w:rsid w:val="00723875"/>
    <w:rsid w:val="00724148"/>
    <w:rsid w:val="0072452A"/>
    <w:rsid w:val="00725D4F"/>
    <w:rsid w:val="00726321"/>
    <w:rsid w:val="00726904"/>
    <w:rsid w:val="00726E8D"/>
    <w:rsid w:val="007275F4"/>
    <w:rsid w:val="0072760E"/>
    <w:rsid w:val="00727C49"/>
    <w:rsid w:val="00727CC5"/>
    <w:rsid w:val="00730988"/>
    <w:rsid w:val="00730F09"/>
    <w:rsid w:val="007311C8"/>
    <w:rsid w:val="007314D1"/>
    <w:rsid w:val="007320A7"/>
    <w:rsid w:val="00732C89"/>
    <w:rsid w:val="00732D9E"/>
    <w:rsid w:val="00732ED4"/>
    <w:rsid w:val="0073313F"/>
    <w:rsid w:val="007335D2"/>
    <w:rsid w:val="00734397"/>
    <w:rsid w:val="007347D7"/>
    <w:rsid w:val="00734D3B"/>
    <w:rsid w:val="00734E70"/>
    <w:rsid w:val="00735411"/>
    <w:rsid w:val="007358FD"/>
    <w:rsid w:val="007372A8"/>
    <w:rsid w:val="00740193"/>
    <w:rsid w:val="00740992"/>
    <w:rsid w:val="00740A36"/>
    <w:rsid w:val="00740C40"/>
    <w:rsid w:val="007416F9"/>
    <w:rsid w:val="00743699"/>
    <w:rsid w:val="00743887"/>
    <w:rsid w:val="00743D25"/>
    <w:rsid w:val="00744749"/>
    <w:rsid w:val="007447AC"/>
    <w:rsid w:val="007456B1"/>
    <w:rsid w:val="00745F26"/>
    <w:rsid w:val="00745F57"/>
    <w:rsid w:val="00746580"/>
    <w:rsid w:val="007465B6"/>
    <w:rsid w:val="007468DF"/>
    <w:rsid w:val="007474EF"/>
    <w:rsid w:val="007502D3"/>
    <w:rsid w:val="007524CB"/>
    <w:rsid w:val="007528F3"/>
    <w:rsid w:val="0075338F"/>
    <w:rsid w:val="007534AD"/>
    <w:rsid w:val="00753716"/>
    <w:rsid w:val="00753CFD"/>
    <w:rsid w:val="0075423F"/>
    <w:rsid w:val="00754AF1"/>
    <w:rsid w:val="0075555B"/>
    <w:rsid w:val="00755704"/>
    <w:rsid w:val="0075588F"/>
    <w:rsid w:val="00755C50"/>
    <w:rsid w:val="007563E8"/>
    <w:rsid w:val="0075670D"/>
    <w:rsid w:val="007568CB"/>
    <w:rsid w:val="00756CEE"/>
    <w:rsid w:val="00756DA9"/>
    <w:rsid w:val="00757C07"/>
    <w:rsid w:val="00760693"/>
    <w:rsid w:val="00760CE5"/>
    <w:rsid w:val="007616E4"/>
    <w:rsid w:val="00762489"/>
    <w:rsid w:val="007627CC"/>
    <w:rsid w:val="00762855"/>
    <w:rsid w:val="00763355"/>
    <w:rsid w:val="00763BE8"/>
    <w:rsid w:val="00763E7E"/>
    <w:rsid w:val="00764562"/>
    <w:rsid w:val="007653FB"/>
    <w:rsid w:val="007655D8"/>
    <w:rsid w:val="00765671"/>
    <w:rsid w:val="007657CB"/>
    <w:rsid w:val="00765FCC"/>
    <w:rsid w:val="0076634F"/>
    <w:rsid w:val="00766726"/>
    <w:rsid w:val="00766E7B"/>
    <w:rsid w:val="007672DA"/>
    <w:rsid w:val="007701AF"/>
    <w:rsid w:val="00770554"/>
    <w:rsid w:val="00770831"/>
    <w:rsid w:val="00771521"/>
    <w:rsid w:val="00771669"/>
    <w:rsid w:val="00772558"/>
    <w:rsid w:val="00772C37"/>
    <w:rsid w:val="00772FFE"/>
    <w:rsid w:val="007737C0"/>
    <w:rsid w:val="00773F22"/>
    <w:rsid w:val="00774A2B"/>
    <w:rsid w:val="007750FD"/>
    <w:rsid w:val="00775AC7"/>
    <w:rsid w:val="00775EB6"/>
    <w:rsid w:val="007761B8"/>
    <w:rsid w:val="00776600"/>
    <w:rsid w:val="00776D2D"/>
    <w:rsid w:val="00777996"/>
    <w:rsid w:val="00780005"/>
    <w:rsid w:val="007805AD"/>
    <w:rsid w:val="0078107E"/>
    <w:rsid w:val="00781638"/>
    <w:rsid w:val="0078178D"/>
    <w:rsid w:val="00781951"/>
    <w:rsid w:val="00781D58"/>
    <w:rsid w:val="00781E2F"/>
    <w:rsid w:val="0078202A"/>
    <w:rsid w:val="0078234A"/>
    <w:rsid w:val="007825E2"/>
    <w:rsid w:val="00782621"/>
    <w:rsid w:val="007844F6"/>
    <w:rsid w:val="007854C1"/>
    <w:rsid w:val="00785A79"/>
    <w:rsid w:val="00787331"/>
    <w:rsid w:val="0078754A"/>
    <w:rsid w:val="00787AF4"/>
    <w:rsid w:val="00790282"/>
    <w:rsid w:val="0079094D"/>
    <w:rsid w:val="007912F5"/>
    <w:rsid w:val="0079239E"/>
    <w:rsid w:val="00792578"/>
    <w:rsid w:val="0079287B"/>
    <w:rsid w:val="00792E62"/>
    <w:rsid w:val="00792F7E"/>
    <w:rsid w:val="007933B4"/>
    <w:rsid w:val="0079426C"/>
    <w:rsid w:val="007943E2"/>
    <w:rsid w:val="00794522"/>
    <w:rsid w:val="00794575"/>
    <w:rsid w:val="00796089"/>
    <w:rsid w:val="00796696"/>
    <w:rsid w:val="007A04B1"/>
    <w:rsid w:val="007A0BE6"/>
    <w:rsid w:val="007A13B4"/>
    <w:rsid w:val="007A1657"/>
    <w:rsid w:val="007A16DA"/>
    <w:rsid w:val="007A2C60"/>
    <w:rsid w:val="007A3B97"/>
    <w:rsid w:val="007A6921"/>
    <w:rsid w:val="007A725D"/>
    <w:rsid w:val="007A73C5"/>
    <w:rsid w:val="007A7EAE"/>
    <w:rsid w:val="007B021E"/>
    <w:rsid w:val="007B1384"/>
    <w:rsid w:val="007B15F1"/>
    <w:rsid w:val="007B36B4"/>
    <w:rsid w:val="007B3FC6"/>
    <w:rsid w:val="007B40F0"/>
    <w:rsid w:val="007B4567"/>
    <w:rsid w:val="007B50A5"/>
    <w:rsid w:val="007B58D1"/>
    <w:rsid w:val="007B611B"/>
    <w:rsid w:val="007B671A"/>
    <w:rsid w:val="007B67AB"/>
    <w:rsid w:val="007B6949"/>
    <w:rsid w:val="007C038F"/>
    <w:rsid w:val="007C111E"/>
    <w:rsid w:val="007C1816"/>
    <w:rsid w:val="007C1B01"/>
    <w:rsid w:val="007C1C72"/>
    <w:rsid w:val="007C1E92"/>
    <w:rsid w:val="007C2D0F"/>
    <w:rsid w:val="007C3411"/>
    <w:rsid w:val="007C3709"/>
    <w:rsid w:val="007C3803"/>
    <w:rsid w:val="007C4718"/>
    <w:rsid w:val="007C55CB"/>
    <w:rsid w:val="007C5A1A"/>
    <w:rsid w:val="007C65B7"/>
    <w:rsid w:val="007C6B05"/>
    <w:rsid w:val="007C7166"/>
    <w:rsid w:val="007C7227"/>
    <w:rsid w:val="007C7FD8"/>
    <w:rsid w:val="007D0737"/>
    <w:rsid w:val="007D0FD6"/>
    <w:rsid w:val="007D1E62"/>
    <w:rsid w:val="007D21E5"/>
    <w:rsid w:val="007D23E0"/>
    <w:rsid w:val="007D2686"/>
    <w:rsid w:val="007D2850"/>
    <w:rsid w:val="007D2F08"/>
    <w:rsid w:val="007D2FB1"/>
    <w:rsid w:val="007D32C3"/>
    <w:rsid w:val="007D34C5"/>
    <w:rsid w:val="007D3B0D"/>
    <w:rsid w:val="007D3B50"/>
    <w:rsid w:val="007D3C0B"/>
    <w:rsid w:val="007D3EF5"/>
    <w:rsid w:val="007D436E"/>
    <w:rsid w:val="007D44EF"/>
    <w:rsid w:val="007D477C"/>
    <w:rsid w:val="007D5479"/>
    <w:rsid w:val="007D604A"/>
    <w:rsid w:val="007D6475"/>
    <w:rsid w:val="007D67AF"/>
    <w:rsid w:val="007D6F33"/>
    <w:rsid w:val="007D6F7A"/>
    <w:rsid w:val="007D71C5"/>
    <w:rsid w:val="007D7CE1"/>
    <w:rsid w:val="007E15F4"/>
    <w:rsid w:val="007E2013"/>
    <w:rsid w:val="007E233F"/>
    <w:rsid w:val="007E461F"/>
    <w:rsid w:val="007E4C29"/>
    <w:rsid w:val="007E552B"/>
    <w:rsid w:val="007E6B75"/>
    <w:rsid w:val="007E7CCB"/>
    <w:rsid w:val="007F0AAB"/>
    <w:rsid w:val="007F20B6"/>
    <w:rsid w:val="007F2964"/>
    <w:rsid w:val="007F3DBA"/>
    <w:rsid w:val="007F4327"/>
    <w:rsid w:val="007F461A"/>
    <w:rsid w:val="007F64FE"/>
    <w:rsid w:val="007F6719"/>
    <w:rsid w:val="007F6E57"/>
    <w:rsid w:val="007F7606"/>
    <w:rsid w:val="007F78F3"/>
    <w:rsid w:val="0080002C"/>
    <w:rsid w:val="0080069A"/>
    <w:rsid w:val="008013C6"/>
    <w:rsid w:val="008018DA"/>
    <w:rsid w:val="008034F3"/>
    <w:rsid w:val="00804F9B"/>
    <w:rsid w:val="00805113"/>
    <w:rsid w:val="00805648"/>
    <w:rsid w:val="00805771"/>
    <w:rsid w:val="00805AEE"/>
    <w:rsid w:val="008060E7"/>
    <w:rsid w:val="00807003"/>
    <w:rsid w:val="00807707"/>
    <w:rsid w:val="008078B7"/>
    <w:rsid w:val="008103C7"/>
    <w:rsid w:val="00810F8D"/>
    <w:rsid w:val="00811962"/>
    <w:rsid w:val="00811ED3"/>
    <w:rsid w:val="008132FF"/>
    <w:rsid w:val="00813D57"/>
    <w:rsid w:val="00814A96"/>
    <w:rsid w:val="00816254"/>
    <w:rsid w:val="00816614"/>
    <w:rsid w:val="0081676D"/>
    <w:rsid w:val="0081732A"/>
    <w:rsid w:val="008174D1"/>
    <w:rsid w:val="0081769A"/>
    <w:rsid w:val="008176D0"/>
    <w:rsid w:val="0081787B"/>
    <w:rsid w:val="00817AFF"/>
    <w:rsid w:val="00817E9B"/>
    <w:rsid w:val="0082000A"/>
    <w:rsid w:val="008200BD"/>
    <w:rsid w:val="00820F49"/>
    <w:rsid w:val="00821397"/>
    <w:rsid w:val="0082234C"/>
    <w:rsid w:val="008238C9"/>
    <w:rsid w:val="00823E92"/>
    <w:rsid w:val="00824999"/>
    <w:rsid w:val="00824CEE"/>
    <w:rsid w:val="008250C0"/>
    <w:rsid w:val="0082757D"/>
    <w:rsid w:val="00827CC7"/>
    <w:rsid w:val="008305DA"/>
    <w:rsid w:val="00831C78"/>
    <w:rsid w:val="00832001"/>
    <w:rsid w:val="00832D7B"/>
    <w:rsid w:val="0083368F"/>
    <w:rsid w:val="0083389E"/>
    <w:rsid w:val="00833EEA"/>
    <w:rsid w:val="008346A5"/>
    <w:rsid w:val="008348E8"/>
    <w:rsid w:val="00835479"/>
    <w:rsid w:val="008368AD"/>
    <w:rsid w:val="00836C69"/>
    <w:rsid w:val="00837057"/>
    <w:rsid w:val="008371FD"/>
    <w:rsid w:val="008376CD"/>
    <w:rsid w:val="00837D2A"/>
    <w:rsid w:val="00841948"/>
    <w:rsid w:val="00841DF5"/>
    <w:rsid w:val="00841F67"/>
    <w:rsid w:val="008425C2"/>
    <w:rsid w:val="00843A15"/>
    <w:rsid w:val="00843B5C"/>
    <w:rsid w:val="00843D8B"/>
    <w:rsid w:val="00844301"/>
    <w:rsid w:val="00844709"/>
    <w:rsid w:val="00844CC0"/>
    <w:rsid w:val="008469BF"/>
    <w:rsid w:val="008479EE"/>
    <w:rsid w:val="00847FBA"/>
    <w:rsid w:val="008504E1"/>
    <w:rsid w:val="00850FBF"/>
    <w:rsid w:val="008516FC"/>
    <w:rsid w:val="00851D4B"/>
    <w:rsid w:val="00852049"/>
    <w:rsid w:val="00852562"/>
    <w:rsid w:val="00852945"/>
    <w:rsid w:val="00853886"/>
    <w:rsid w:val="00853E4A"/>
    <w:rsid w:val="0085417A"/>
    <w:rsid w:val="0085431D"/>
    <w:rsid w:val="00854891"/>
    <w:rsid w:val="00855311"/>
    <w:rsid w:val="00855552"/>
    <w:rsid w:val="0085597C"/>
    <w:rsid w:val="00855D90"/>
    <w:rsid w:val="00855E3E"/>
    <w:rsid w:val="00855E4E"/>
    <w:rsid w:val="00856391"/>
    <w:rsid w:val="008565A0"/>
    <w:rsid w:val="008565CF"/>
    <w:rsid w:val="00856BBF"/>
    <w:rsid w:val="00857766"/>
    <w:rsid w:val="00857924"/>
    <w:rsid w:val="00860134"/>
    <w:rsid w:val="008601A4"/>
    <w:rsid w:val="0086024F"/>
    <w:rsid w:val="00860549"/>
    <w:rsid w:val="0086187E"/>
    <w:rsid w:val="00861887"/>
    <w:rsid w:val="008619F8"/>
    <w:rsid w:val="00861AA3"/>
    <w:rsid w:val="00861B7B"/>
    <w:rsid w:val="0086210C"/>
    <w:rsid w:val="008624FA"/>
    <w:rsid w:val="00863003"/>
    <w:rsid w:val="0086308B"/>
    <w:rsid w:val="0086374B"/>
    <w:rsid w:val="00863E41"/>
    <w:rsid w:val="00864ECF"/>
    <w:rsid w:val="00865073"/>
    <w:rsid w:val="00865A3B"/>
    <w:rsid w:val="00865DED"/>
    <w:rsid w:val="008661EA"/>
    <w:rsid w:val="0086646F"/>
    <w:rsid w:val="00866608"/>
    <w:rsid w:val="008672FF"/>
    <w:rsid w:val="0086736B"/>
    <w:rsid w:val="008679CF"/>
    <w:rsid w:val="00870029"/>
    <w:rsid w:val="00870621"/>
    <w:rsid w:val="008708B1"/>
    <w:rsid w:val="008712B7"/>
    <w:rsid w:val="008729DF"/>
    <w:rsid w:val="00872D5F"/>
    <w:rsid w:val="00873AED"/>
    <w:rsid w:val="00873CDC"/>
    <w:rsid w:val="00874791"/>
    <w:rsid w:val="008747F7"/>
    <w:rsid w:val="008749AF"/>
    <w:rsid w:val="00874BD5"/>
    <w:rsid w:val="00875795"/>
    <w:rsid w:val="00875948"/>
    <w:rsid w:val="00875C22"/>
    <w:rsid w:val="00875EB5"/>
    <w:rsid w:val="00876CD1"/>
    <w:rsid w:val="008774AB"/>
    <w:rsid w:val="00877666"/>
    <w:rsid w:val="00877FED"/>
    <w:rsid w:val="008805E3"/>
    <w:rsid w:val="00880857"/>
    <w:rsid w:val="0088111D"/>
    <w:rsid w:val="00881C34"/>
    <w:rsid w:val="00882812"/>
    <w:rsid w:val="00882885"/>
    <w:rsid w:val="00882A54"/>
    <w:rsid w:val="00882DBF"/>
    <w:rsid w:val="00882F3C"/>
    <w:rsid w:val="008833F8"/>
    <w:rsid w:val="00883451"/>
    <w:rsid w:val="00883A7B"/>
    <w:rsid w:val="00884314"/>
    <w:rsid w:val="008843FC"/>
    <w:rsid w:val="0088440E"/>
    <w:rsid w:val="00886000"/>
    <w:rsid w:val="00886270"/>
    <w:rsid w:val="0088694A"/>
    <w:rsid w:val="00886F36"/>
    <w:rsid w:val="00887C64"/>
    <w:rsid w:val="008906BF"/>
    <w:rsid w:val="00890E14"/>
    <w:rsid w:val="00890F2B"/>
    <w:rsid w:val="00891897"/>
    <w:rsid w:val="00891FDD"/>
    <w:rsid w:val="00892C5C"/>
    <w:rsid w:val="00893566"/>
    <w:rsid w:val="00893AC4"/>
    <w:rsid w:val="00894356"/>
    <w:rsid w:val="0089465B"/>
    <w:rsid w:val="00894B64"/>
    <w:rsid w:val="00894B6E"/>
    <w:rsid w:val="00894D6C"/>
    <w:rsid w:val="00895352"/>
    <w:rsid w:val="0089544A"/>
    <w:rsid w:val="0089568A"/>
    <w:rsid w:val="00896244"/>
    <w:rsid w:val="0089680F"/>
    <w:rsid w:val="0089717F"/>
    <w:rsid w:val="008974E7"/>
    <w:rsid w:val="008A16A3"/>
    <w:rsid w:val="008A1B5A"/>
    <w:rsid w:val="008A1EA4"/>
    <w:rsid w:val="008A25D1"/>
    <w:rsid w:val="008A2668"/>
    <w:rsid w:val="008A2958"/>
    <w:rsid w:val="008A2F51"/>
    <w:rsid w:val="008A30FE"/>
    <w:rsid w:val="008A4B5B"/>
    <w:rsid w:val="008A551C"/>
    <w:rsid w:val="008A558D"/>
    <w:rsid w:val="008A5E52"/>
    <w:rsid w:val="008A5EAC"/>
    <w:rsid w:val="008A62F8"/>
    <w:rsid w:val="008A639B"/>
    <w:rsid w:val="008A6FB5"/>
    <w:rsid w:val="008A74B3"/>
    <w:rsid w:val="008A773D"/>
    <w:rsid w:val="008B0C8E"/>
    <w:rsid w:val="008B1D61"/>
    <w:rsid w:val="008B2DCC"/>
    <w:rsid w:val="008B3E6A"/>
    <w:rsid w:val="008B3F28"/>
    <w:rsid w:val="008B3FEF"/>
    <w:rsid w:val="008B42A6"/>
    <w:rsid w:val="008B43B4"/>
    <w:rsid w:val="008B43F9"/>
    <w:rsid w:val="008B53B7"/>
    <w:rsid w:val="008B54D3"/>
    <w:rsid w:val="008B5CF2"/>
    <w:rsid w:val="008B5F96"/>
    <w:rsid w:val="008B601E"/>
    <w:rsid w:val="008B7256"/>
    <w:rsid w:val="008B72F3"/>
    <w:rsid w:val="008B77BD"/>
    <w:rsid w:val="008B7EC5"/>
    <w:rsid w:val="008C01FD"/>
    <w:rsid w:val="008C04F3"/>
    <w:rsid w:val="008C0BB2"/>
    <w:rsid w:val="008C121C"/>
    <w:rsid w:val="008C1BE0"/>
    <w:rsid w:val="008C2561"/>
    <w:rsid w:val="008C4843"/>
    <w:rsid w:val="008C4DE7"/>
    <w:rsid w:val="008C54F4"/>
    <w:rsid w:val="008C5774"/>
    <w:rsid w:val="008C5D06"/>
    <w:rsid w:val="008C5F26"/>
    <w:rsid w:val="008C62C9"/>
    <w:rsid w:val="008C6556"/>
    <w:rsid w:val="008C674A"/>
    <w:rsid w:val="008C6914"/>
    <w:rsid w:val="008C6BDE"/>
    <w:rsid w:val="008C7279"/>
    <w:rsid w:val="008C7707"/>
    <w:rsid w:val="008C7D2A"/>
    <w:rsid w:val="008C7F7B"/>
    <w:rsid w:val="008D0302"/>
    <w:rsid w:val="008D0343"/>
    <w:rsid w:val="008D07EA"/>
    <w:rsid w:val="008D0990"/>
    <w:rsid w:val="008D0C18"/>
    <w:rsid w:val="008D1AE6"/>
    <w:rsid w:val="008D1EA3"/>
    <w:rsid w:val="008D213B"/>
    <w:rsid w:val="008D2239"/>
    <w:rsid w:val="008D230C"/>
    <w:rsid w:val="008D2328"/>
    <w:rsid w:val="008D347F"/>
    <w:rsid w:val="008D4229"/>
    <w:rsid w:val="008D48FF"/>
    <w:rsid w:val="008D4A38"/>
    <w:rsid w:val="008D4AE0"/>
    <w:rsid w:val="008D5944"/>
    <w:rsid w:val="008D616A"/>
    <w:rsid w:val="008D7987"/>
    <w:rsid w:val="008E16DF"/>
    <w:rsid w:val="008E1871"/>
    <w:rsid w:val="008E19D2"/>
    <w:rsid w:val="008E19EB"/>
    <w:rsid w:val="008E28DF"/>
    <w:rsid w:val="008E3891"/>
    <w:rsid w:val="008E39DC"/>
    <w:rsid w:val="008E4D44"/>
    <w:rsid w:val="008E50A3"/>
    <w:rsid w:val="008E518D"/>
    <w:rsid w:val="008E611E"/>
    <w:rsid w:val="008E70DB"/>
    <w:rsid w:val="008E7370"/>
    <w:rsid w:val="008E7901"/>
    <w:rsid w:val="008E7EE7"/>
    <w:rsid w:val="008E7F84"/>
    <w:rsid w:val="008F177C"/>
    <w:rsid w:val="008F1B23"/>
    <w:rsid w:val="008F2AFD"/>
    <w:rsid w:val="008F2D40"/>
    <w:rsid w:val="008F4CBC"/>
    <w:rsid w:val="008F515B"/>
    <w:rsid w:val="008F54A5"/>
    <w:rsid w:val="008F55F7"/>
    <w:rsid w:val="008F671C"/>
    <w:rsid w:val="008F6D94"/>
    <w:rsid w:val="008F7326"/>
    <w:rsid w:val="008F7871"/>
    <w:rsid w:val="008F7990"/>
    <w:rsid w:val="0090020B"/>
    <w:rsid w:val="00900837"/>
    <w:rsid w:val="009009A3"/>
    <w:rsid w:val="00900A45"/>
    <w:rsid w:val="00900BC5"/>
    <w:rsid w:val="00900FCB"/>
    <w:rsid w:val="00902979"/>
    <w:rsid w:val="0090325E"/>
    <w:rsid w:val="00903E57"/>
    <w:rsid w:val="00904104"/>
    <w:rsid w:val="009054D4"/>
    <w:rsid w:val="00905751"/>
    <w:rsid w:val="00905C59"/>
    <w:rsid w:val="009060F4"/>
    <w:rsid w:val="0090650A"/>
    <w:rsid w:val="009066D9"/>
    <w:rsid w:val="00906748"/>
    <w:rsid w:val="00906F51"/>
    <w:rsid w:val="009070B3"/>
    <w:rsid w:val="00907404"/>
    <w:rsid w:val="00907449"/>
    <w:rsid w:val="00907495"/>
    <w:rsid w:val="0090776C"/>
    <w:rsid w:val="00907BB7"/>
    <w:rsid w:val="0091075F"/>
    <w:rsid w:val="00910BAB"/>
    <w:rsid w:val="00910D8E"/>
    <w:rsid w:val="0091104A"/>
    <w:rsid w:val="00911223"/>
    <w:rsid w:val="009112F1"/>
    <w:rsid w:val="00912204"/>
    <w:rsid w:val="00912865"/>
    <w:rsid w:val="00912B6A"/>
    <w:rsid w:val="00912F4C"/>
    <w:rsid w:val="009134FE"/>
    <w:rsid w:val="00913CFC"/>
    <w:rsid w:val="00913FE3"/>
    <w:rsid w:val="00914084"/>
    <w:rsid w:val="009147D8"/>
    <w:rsid w:val="00914A36"/>
    <w:rsid w:val="009150E5"/>
    <w:rsid w:val="00915618"/>
    <w:rsid w:val="00915847"/>
    <w:rsid w:val="00915D81"/>
    <w:rsid w:val="00916F8A"/>
    <w:rsid w:val="00917647"/>
    <w:rsid w:val="00920121"/>
    <w:rsid w:val="009206FD"/>
    <w:rsid w:val="0092095E"/>
    <w:rsid w:val="00920A7C"/>
    <w:rsid w:val="00920B77"/>
    <w:rsid w:val="00920EF7"/>
    <w:rsid w:val="009210BC"/>
    <w:rsid w:val="0092178B"/>
    <w:rsid w:val="00921B1E"/>
    <w:rsid w:val="009223C4"/>
    <w:rsid w:val="00922C7B"/>
    <w:rsid w:val="00923CD7"/>
    <w:rsid w:val="00923E9E"/>
    <w:rsid w:val="0092511C"/>
    <w:rsid w:val="00925AF2"/>
    <w:rsid w:val="00925E18"/>
    <w:rsid w:val="009261F8"/>
    <w:rsid w:val="0092662E"/>
    <w:rsid w:val="009278E8"/>
    <w:rsid w:val="00927B3B"/>
    <w:rsid w:val="00930205"/>
    <w:rsid w:val="00930834"/>
    <w:rsid w:val="009310E2"/>
    <w:rsid w:val="009315EA"/>
    <w:rsid w:val="00931B77"/>
    <w:rsid w:val="00931C41"/>
    <w:rsid w:val="00932001"/>
    <w:rsid w:val="009321B8"/>
    <w:rsid w:val="009330C1"/>
    <w:rsid w:val="00933343"/>
    <w:rsid w:val="009349B8"/>
    <w:rsid w:val="00934CB0"/>
    <w:rsid w:val="00935A76"/>
    <w:rsid w:val="00935E87"/>
    <w:rsid w:val="00935E99"/>
    <w:rsid w:val="0093679D"/>
    <w:rsid w:val="0093747C"/>
    <w:rsid w:val="009375EC"/>
    <w:rsid w:val="00940A79"/>
    <w:rsid w:val="009410EA"/>
    <w:rsid w:val="009411CD"/>
    <w:rsid w:val="0094122B"/>
    <w:rsid w:val="0094136E"/>
    <w:rsid w:val="00941C05"/>
    <w:rsid w:val="00941CBF"/>
    <w:rsid w:val="00942824"/>
    <w:rsid w:val="00943B58"/>
    <w:rsid w:val="00944240"/>
    <w:rsid w:val="0094450E"/>
    <w:rsid w:val="0094492A"/>
    <w:rsid w:val="00945840"/>
    <w:rsid w:val="00945AA8"/>
    <w:rsid w:val="00946065"/>
    <w:rsid w:val="00946425"/>
    <w:rsid w:val="00947055"/>
    <w:rsid w:val="0094759F"/>
    <w:rsid w:val="00947A7B"/>
    <w:rsid w:val="00947C4E"/>
    <w:rsid w:val="009514BD"/>
    <w:rsid w:val="00951561"/>
    <w:rsid w:val="00951D5A"/>
    <w:rsid w:val="00951E53"/>
    <w:rsid w:val="00951F20"/>
    <w:rsid w:val="00952C75"/>
    <w:rsid w:val="00953AD1"/>
    <w:rsid w:val="00955491"/>
    <w:rsid w:val="009554B8"/>
    <w:rsid w:val="00955607"/>
    <w:rsid w:val="0095600C"/>
    <w:rsid w:val="00957956"/>
    <w:rsid w:val="0096041A"/>
    <w:rsid w:val="009604A0"/>
    <w:rsid w:val="00960541"/>
    <w:rsid w:val="00960DFD"/>
    <w:rsid w:val="00962270"/>
    <w:rsid w:val="009627A1"/>
    <w:rsid w:val="00962816"/>
    <w:rsid w:val="0096299F"/>
    <w:rsid w:val="009637B4"/>
    <w:rsid w:val="00963F39"/>
    <w:rsid w:val="00964239"/>
    <w:rsid w:val="009645E0"/>
    <w:rsid w:val="00964DFF"/>
    <w:rsid w:val="00964E18"/>
    <w:rsid w:val="0096521A"/>
    <w:rsid w:val="009652FB"/>
    <w:rsid w:val="00965CD9"/>
    <w:rsid w:val="00965ECD"/>
    <w:rsid w:val="00965F59"/>
    <w:rsid w:val="009662B5"/>
    <w:rsid w:val="009664B6"/>
    <w:rsid w:val="009670D7"/>
    <w:rsid w:val="0096772A"/>
    <w:rsid w:val="00967C76"/>
    <w:rsid w:val="00970C70"/>
    <w:rsid w:val="00971066"/>
    <w:rsid w:val="00971206"/>
    <w:rsid w:val="00971A6D"/>
    <w:rsid w:val="00971B8D"/>
    <w:rsid w:val="00971C2F"/>
    <w:rsid w:val="00971D56"/>
    <w:rsid w:val="009729C8"/>
    <w:rsid w:val="009734F5"/>
    <w:rsid w:val="009735EB"/>
    <w:rsid w:val="009741A4"/>
    <w:rsid w:val="0097423E"/>
    <w:rsid w:val="0097438E"/>
    <w:rsid w:val="00974428"/>
    <w:rsid w:val="00974456"/>
    <w:rsid w:val="00974893"/>
    <w:rsid w:val="00975696"/>
    <w:rsid w:val="00975B4B"/>
    <w:rsid w:val="00976042"/>
    <w:rsid w:val="00976829"/>
    <w:rsid w:val="00977503"/>
    <w:rsid w:val="00977772"/>
    <w:rsid w:val="00977830"/>
    <w:rsid w:val="0098054E"/>
    <w:rsid w:val="009807EB"/>
    <w:rsid w:val="00980A5C"/>
    <w:rsid w:val="00981178"/>
    <w:rsid w:val="00981490"/>
    <w:rsid w:val="009816B4"/>
    <w:rsid w:val="00982717"/>
    <w:rsid w:val="0098299F"/>
    <w:rsid w:val="009833DA"/>
    <w:rsid w:val="00983C89"/>
    <w:rsid w:val="009851CA"/>
    <w:rsid w:val="00985718"/>
    <w:rsid w:val="00986263"/>
    <w:rsid w:val="009868B2"/>
    <w:rsid w:val="00986A3E"/>
    <w:rsid w:val="00986C9E"/>
    <w:rsid w:val="0098713B"/>
    <w:rsid w:val="00987C94"/>
    <w:rsid w:val="00990552"/>
    <w:rsid w:val="00990ECC"/>
    <w:rsid w:val="00991883"/>
    <w:rsid w:val="00991FC6"/>
    <w:rsid w:val="00992044"/>
    <w:rsid w:val="00992BBD"/>
    <w:rsid w:val="00992E21"/>
    <w:rsid w:val="0099304A"/>
    <w:rsid w:val="0099307F"/>
    <w:rsid w:val="009934D4"/>
    <w:rsid w:val="009935D7"/>
    <w:rsid w:val="009936DF"/>
    <w:rsid w:val="0099429C"/>
    <w:rsid w:val="0099568F"/>
    <w:rsid w:val="009957D4"/>
    <w:rsid w:val="00995E4D"/>
    <w:rsid w:val="00996383"/>
    <w:rsid w:val="0099725D"/>
    <w:rsid w:val="00997306"/>
    <w:rsid w:val="0099756A"/>
    <w:rsid w:val="0099769C"/>
    <w:rsid w:val="00997876"/>
    <w:rsid w:val="00997D32"/>
    <w:rsid w:val="009A02D0"/>
    <w:rsid w:val="009A0DC4"/>
    <w:rsid w:val="009A26A1"/>
    <w:rsid w:val="009A2C14"/>
    <w:rsid w:val="009A2E39"/>
    <w:rsid w:val="009A3ADF"/>
    <w:rsid w:val="009A5187"/>
    <w:rsid w:val="009A549B"/>
    <w:rsid w:val="009A5A4B"/>
    <w:rsid w:val="009A6555"/>
    <w:rsid w:val="009A6675"/>
    <w:rsid w:val="009A6F93"/>
    <w:rsid w:val="009A7616"/>
    <w:rsid w:val="009A7A0A"/>
    <w:rsid w:val="009B0822"/>
    <w:rsid w:val="009B1243"/>
    <w:rsid w:val="009B1844"/>
    <w:rsid w:val="009B2914"/>
    <w:rsid w:val="009B29E4"/>
    <w:rsid w:val="009B3559"/>
    <w:rsid w:val="009B375B"/>
    <w:rsid w:val="009B3EA9"/>
    <w:rsid w:val="009B4695"/>
    <w:rsid w:val="009B4BAE"/>
    <w:rsid w:val="009B52CD"/>
    <w:rsid w:val="009B6023"/>
    <w:rsid w:val="009B68C1"/>
    <w:rsid w:val="009B68CA"/>
    <w:rsid w:val="009B7A57"/>
    <w:rsid w:val="009C0775"/>
    <w:rsid w:val="009C0DB1"/>
    <w:rsid w:val="009C0F25"/>
    <w:rsid w:val="009C1791"/>
    <w:rsid w:val="009C17DF"/>
    <w:rsid w:val="009C1C36"/>
    <w:rsid w:val="009C2412"/>
    <w:rsid w:val="009C2DF6"/>
    <w:rsid w:val="009C3278"/>
    <w:rsid w:val="009C3339"/>
    <w:rsid w:val="009C33D0"/>
    <w:rsid w:val="009C3BD1"/>
    <w:rsid w:val="009C3C19"/>
    <w:rsid w:val="009C4AB0"/>
    <w:rsid w:val="009C4AF3"/>
    <w:rsid w:val="009C5A2E"/>
    <w:rsid w:val="009C5F35"/>
    <w:rsid w:val="009C6079"/>
    <w:rsid w:val="009C63A3"/>
    <w:rsid w:val="009C66A4"/>
    <w:rsid w:val="009C687A"/>
    <w:rsid w:val="009C6AD0"/>
    <w:rsid w:val="009C7479"/>
    <w:rsid w:val="009C7D90"/>
    <w:rsid w:val="009D0271"/>
    <w:rsid w:val="009D1744"/>
    <w:rsid w:val="009D222B"/>
    <w:rsid w:val="009D2A14"/>
    <w:rsid w:val="009D2C31"/>
    <w:rsid w:val="009D2CBC"/>
    <w:rsid w:val="009D3095"/>
    <w:rsid w:val="009D333A"/>
    <w:rsid w:val="009D36A2"/>
    <w:rsid w:val="009D3D51"/>
    <w:rsid w:val="009D4018"/>
    <w:rsid w:val="009D54BF"/>
    <w:rsid w:val="009D5643"/>
    <w:rsid w:val="009D67EE"/>
    <w:rsid w:val="009D6851"/>
    <w:rsid w:val="009D6D03"/>
    <w:rsid w:val="009D7353"/>
    <w:rsid w:val="009D7F02"/>
    <w:rsid w:val="009D7F96"/>
    <w:rsid w:val="009E065E"/>
    <w:rsid w:val="009E1A11"/>
    <w:rsid w:val="009E1BE6"/>
    <w:rsid w:val="009E28C1"/>
    <w:rsid w:val="009E2A6D"/>
    <w:rsid w:val="009E32A2"/>
    <w:rsid w:val="009E385B"/>
    <w:rsid w:val="009E3B4C"/>
    <w:rsid w:val="009E4886"/>
    <w:rsid w:val="009E50A0"/>
    <w:rsid w:val="009E520B"/>
    <w:rsid w:val="009E5753"/>
    <w:rsid w:val="009E6C32"/>
    <w:rsid w:val="009E6C74"/>
    <w:rsid w:val="009E6D67"/>
    <w:rsid w:val="009E7261"/>
    <w:rsid w:val="009E7457"/>
    <w:rsid w:val="009F1EBA"/>
    <w:rsid w:val="009F2356"/>
    <w:rsid w:val="009F25D3"/>
    <w:rsid w:val="009F2B70"/>
    <w:rsid w:val="009F348E"/>
    <w:rsid w:val="009F3693"/>
    <w:rsid w:val="009F5340"/>
    <w:rsid w:val="009F568E"/>
    <w:rsid w:val="009F595E"/>
    <w:rsid w:val="009F5DC6"/>
    <w:rsid w:val="009F62C2"/>
    <w:rsid w:val="009F6C58"/>
    <w:rsid w:val="009F6E6D"/>
    <w:rsid w:val="009F797F"/>
    <w:rsid w:val="009F7E8F"/>
    <w:rsid w:val="00A00E71"/>
    <w:rsid w:val="00A01A1B"/>
    <w:rsid w:val="00A02666"/>
    <w:rsid w:val="00A0350B"/>
    <w:rsid w:val="00A0389B"/>
    <w:rsid w:val="00A03A31"/>
    <w:rsid w:val="00A040E5"/>
    <w:rsid w:val="00A0466A"/>
    <w:rsid w:val="00A048F5"/>
    <w:rsid w:val="00A04998"/>
    <w:rsid w:val="00A05FAF"/>
    <w:rsid w:val="00A061D0"/>
    <w:rsid w:val="00A064D6"/>
    <w:rsid w:val="00A06591"/>
    <w:rsid w:val="00A06997"/>
    <w:rsid w:val="00A07167"/>
    <w:rsid w:val="00A07449"/>
    <w:rsid w:val="00A07F61"/>
    <w:rsid w:val="00A105AC"/>
    <w:rsid w:val="00A10FAA"/>
    <w:rsid w:val="00A11652"/>
    <w:rsid w:val="00A1185B"/>
    <w:rsid w:val="00A11EA5"/>
    <w:rsid w:val="00A12AF3"/>
    <w:rsid w:val="00A138DC"/>
    <w:rsid w:val="00A13DFD"/>
    <w:rsid w:val="00A14EC7"/>
    <w:rsid w:val="00A15878"/>
    <w:rsid w:val="00A15A08"/>
    <w:rsid w:val="00A16478"/>
    <w:rsid w:val="00A16C07"/>
    <w:rsid w:val="00A16F0B"/>
    <w:rsid w:val="00A171DE"/>
    <w:rsid w:val="00A20204"/>
    <w:rsid w:val="00A21228"/>
    <w:rsid w:val="00A2268B"/>
    <w:rsid w:val="00A239FA"/>
    <w:rsid w:val="00A23D77"/>
    <w:rsid w:val="00A244ED"/>
    <w:rsid w:val="00A246D0"/>
    <w:rsid w:val="00A24A3C"/>
    <w:rsid w:val="00A24C36"/>
    <w:rsid w:val="00A257F4"/>
    <w:rsid w:val="00A25D1F"/>
    <w:rsid w:val="00A25DC0"/>
    <w:rsid w:val="00A25F50"/>
    <w:rsid w:val="00A26328"/>
    <w:rsid w:val="00A264AF"/>
    <w:rsid w:val="00A26EE0"/>
    <w:rsid w:val="00A2706C"/>
    <w:rsid w:val="00A27338"/>
    <w:rsid w:val="00A2744F"/>
    <w:rsid w:val="00A27608"/>
    <w:rsid w:val="00A306E1"/>
    <w:rsid w:val="00A30926"/>
    <w:rsid w:val="00A30CBD"/>
    <w:rsid w:val="00A30DCB"/>
    <w:rsid w:val="00A31342"/>
    <w:rsid w:val="00A31930"/>
    <w:rsid w:val="00A3302B"/>
    <w:rsid w:val="00A33824"/>
    <w:rsid w:val="00A34629"/>
    <w:rsid w:val="00A346F9"/>
    <w:rsid w:val="00A348D0"/>
    <w:rsid w:val="00A355F0"/>
    <w:rsid w:val="00A3710F"/>
    <w:rsid w:val="00A376EA"/>
    <w:rsid w:val="00A3785A"/>
    <w:rsid w:val="00A379B6"/>
    <w:rsid w:val="00A40869"/>
    <w:rsid w:val="00A415A7"/>
    <w:rsid w:val="00A4176B"/>
    <w:rsid w:val="00A41814"/>
    <w:rsid w:val="00A42A3A"/>
    <w:rsid w:val="00A44240"/>
    <w:rsid w:val="00A44728"/>
    <w:rsid w:val="00A44C28"/>
    <w:rsid w:val="00A4581B"/>
    <w:rsid w:val="00A45ABB"/>
    <w:rsid w:val="00A46818"/>
    <w:rsid w:val="00A47440"/>
    <w:rsid w:val="00A47FF5"/>
    <w:rsid w:val="00A50EA1"/>
    <w:rsid w:val="00A50EF6"/>
    <w:rsid w:val="00A5164C"/>
    <w:rsid w:val="00A51675"/>
    <w:rsid w:val="00A51702"/>
    <w:rsid w:val="00A5172C"/>
    <w:rsid w:val="00A51F76"/>
    <w:rsid w:val="00A5299C"/>
    <w:rsid w:val="00A52E62"/>
    <w:rsid w:val="00A5372C"/>
    <w:rsid w:val="00A53A6E"/>
    <w:rsid w:val="00A545F2"/>
    <w:rsid w:val="00A54950"/>
    <w:rsid w:val="00A55C13"/>
    <w:rsid w:val="00A5649A"/>
    <w:rsid w:val="00A56CD5"/>
    <w:rsid w:val="00A571A3"/>
    <w:rsid w:val="00A57A09"/>
    <w:rsid w:val="00A57F2F"/>
    <w:rsid w:val="00A600B9"/>
    <w:rsid w:val="00A60394"/>
    <w:rsid w:val="00A60D75"/>
    <w:rsid w:val="00A6182F"/>
    <w:rsid w:val="00A61981"/>
    <w:rsid w:val="00A61FCE"/>
    <w:rsid w:val="00A622E2"/>
    <w:rsid w:val="00A62F49"/>
    <w:rsid w:val="00A63904"/>
    <w:rsid w:val="00A63C5E"/>
    <w:rsid w:val="00A64731"/>
    <w:rsid w:val="00A651BE"/>
    <w:rsid w:val="00A65572"/>
    <w:rsid w:val="00A6588E"/>
    <w:rsid w:val="00A66299"/>
    <w:rsid w:val="00A6667B"/>
    <w:rsid w:val="00A66E43"/>
    <w:rsid w:val="00A66F54"/>
    <w:rsid w:val="00A67B02"/>
    <w:rsid w:val="00A67D78"/>
    <w:rsid w:val="00A70E89"/>
    <w:rsid w:val="00A70F72"/>
    <w:rsid w:val="00A711B3"/>
    <w:rsid w:val="00A715A7"/>
    <w:rsid w:val="00A733B1"/>
    <w:rsid w:val="00A74926"/>
    <w:rsid w:val="00A750BC"/>
    <w:rsid w:val="00A7525B"/>
    <w:rsid w:val="00A763E0"/>
    <w:rsid w:val="00A773AE"/>
    <w:rsid w:val="00A77E04"/>
    <w:rsid w:val="00A80555"/>
    <w:rsid w:val="00A805F2"/>
    <w:rsid w:val="00A80757"/>
    <w:rsid w:val="00A8094E"/>
    <w:rsid w:val="00A809B4"/>
    <w:rsid w:val="00A80C36"/>
    <w:rsid w:val="00A80EC9"/>
    <w:rsid w:val="00A80F9B"/>
    <w:rsid w:val="00A8116A"/>
    <w:rsid w:val="00A81C0A"/>
    <w:rsid w:val="00A821AD"/>
    <w:rsid w:val="00A82516"/>
    <w:rsid w:val="00A8285A"/>
    <w:rsid w:val="00A83450"/>
    <w:rsid w:val="00A83591"/>
    <w:rsid w:val="00A83AC7"/>
    <w:rsid w:val="00A83D00"/>
    <w:rsid w:val="00A83DBF"/>
    <w:rsid w:val="00A84D50"/>
    <w:rsid w:val="00A856F7"/>
    <w:rsid w:val="00A86593"/>
    <w:rsid w:val="00A86AD0"/>
    <w:rsid w:val="00A86CAF"/>
    <w:rsid w:val="00A87059"/>
    <w:rsid w:val="00A876B9"/>
    <w:rsid w:val="00A87E4B"/>
    <w:rsid w:val="00A87E96"/>
    <w:rsid w:val="00A90A95"/>
    <w:rsid w:val="00A90C13"/>
    <w:rsid w:val="00A919EC"/>
    <w:rsid w:val="00A91BC1"/>
    <w:rsid w:val="00A92470"/>
    <w:rsid w:val="00A92740"/>
    <w:rsid w:val="00A9291B"/>
    <w:rsid w:val="00A93013"/>
    <w:rsid w:val="00A9379F"/>
    <w:rsid w:val="00A946CB"/>
    <w:rsid w:val="00A94893"/>
    <w:rsid w:val="00A94FCF"/>
    <w:rsid w:val="00A95B63"/>
    <w:rsid w:val="00A967DF"/>
    <w:rsid w:val="00A96A0A"/>
    <w:rsid w:val="00A96AE9"/>
    <w:rsid w:val="00A97258"/>
    <w:rsid w:val="00A97EF1"/>
    <w:rsid w:val="00AA093D"/>
    <w:rsid w:val="00AA1519"/>
    <w:rsid w:val="00AA15F3"/>
    <w:rsid w:val="00AA1D1C"/>
    <w:rsid w:val="00AA1D3C"/>
    <w:rsid w:val="00AA21BF"/>
    <w:rsid w:val="00AA2E1E"/>
    <w:rsid w:val="00AA338E"/>
    <w:rsid w:val="00AA44DE"/>
    <w:rsid w:val="00AA462E"/>
    <w:rsid w:val="00AA4864"/>
    <w:rsid w:val="00AA511D"/>
    <w:rsid w:val="00AA5E32"/>
    <w:rsid w:val="00AA60F6"/>
    <w:rsid w:val="00AA6136"/>
    <w:rsid w:val="00AA6F33"/>
    <w:rsid w:val="00AA75F8"/>
    <w:rsid w:val="00AA7D41"/>
    <w:rsid w:val="00AB0506"/>
    <w:rsid w:val="00AB0BE8"/>
    <w:rsid w:val="00AB0C08"/>
    <w:rsid w:val="00AB0CFD"/>
    <w:rsid w:val="00AB1B42"/>
    <w:rsid w:val="00AB2FEC"/>
    <w:rsid w:val="00AB38AA"/>
    <w:rsid w:val="00AB3CDC"/>
    <w:rsid w:val="00AB3D6E"/>
    <w:rsid w:val="00AB3FDF"/>
    <w:rsid w:val="00AB3FE0"/>
    <w:rsid w:val="00AB418E"/>
    <w:rsid w:val="00AB4BC8"/>
    <w:rsid w:val="00AB5ACA"/>
    <w:rsid w:val="00AB5FB3"/>
    <w:rsid w:val="00AB640B"/>
    <w:rsid w:val="00AB69E9"/>
    <w:rsid w:val="00AB7532"/>
    <w:rsid w:val="00AC09E7"/>
    <w:rsid w:val="00AC0A57"/>
    <w:rsid w:val="00AC0D44"/>
    <w:rsid w:val="00AC1494"/>
    <w:rsid w:val="00AC1C8C"/>
    <w:rsid w:val="00AC1F78"/>
    <w:rsid w:val="00AC2146"/>
    <w:rsid w:val="00AC46D0"/>
    <w:rsid w:val="00AC4AD8"/>
    <w:rsid w:val="00AC53AA"/>
    <w:rsid w:val="00AC5E72"/>
    <w:rsid w:val="00AC66D3"/>
    <w:rsid w:val="00AC6BA7"/>
    <w:rsid w:val="00AC7959"/>
    <w:rsid w:val="00AC7C7A"/>
    <w:rsid w:val="00AD03F1"/>
    <w:rsid w:val="00AD05A9"/>
    <w:rsid w:val="00AD0B1D"/>
    <w:rsid w:val="00AD1207"/>
    <w:rsid w:val="00AD187F"/>
    <w:rsid w:val="00AD1A72"/>
    <w:rsid w:val="00AD206B"/>
    <w:rsid w:val="00AD3175"/>
    <w:rsid w:val="00AD3F43"/>
    <w:rsid w:val="00AD4CEA"/>
    <w:rsid w:val="00AD5E6B"/>
    <w:rsid w:val="00AD5F27"/>
    <w:rsid w:val="00AD5FA2"/>
    <w:rsid w:val="00AD66EB"/>
    <w:rsid w:val="00AD6A2C"/>
    <w:rsid w:val="00AE0014"/>
    <w:rsid w:val="00AE01B8"/>
    <w:rsid w:val="00AE0880"/>
    <w:rsid w:val="00AE131A"/>
    <w:rsid w:val="00AE175E"/>
    <w:rsid w:val="00AE2221"/>
    <w:rsid w:val="00AE2387"/>
    <w:rsid w:val="00AE297E"/>
    <w:rsid w:val="00AE2D4B"/>
    <w:rsid w:val="00AE2DF7"/>
    <w:rsid w:val="00AE2E89"/>
    <w:rsid w:val="00AE2E96"/>
    <w:rsid w:val="00AE3BD0"/>
    <w:rsid w:val="00AE45E7"/>
    <w:rsid w:val="00AE47F3"/>
    <w:rsid w:val="00AE5816"/>
    <w:rsid w:val="00AE607C"/>
    <w:rsid w:val="00AE63A9"/>
    <w:rsid w:val="00AE63B8"/>
    <w:rsid w:val="00AE66C8"/>
    <w:rsid w:val="00AE76FC"/>
    <w:rsid w:val="00AF0006"/>
    <w:rsid w:val="00AF0144"/>
    <w:rsid w:val="00AF0324"/>
    <w:rsid w:val="00AF15AB"/>
    <w:rsid w:val="00AF1755"/>
    <w:rsid w:val="00AF1A3B"/>
    <w:rsid w:val="00AF2B5B"/>
    <w:rsid w:val="00AF346A"/>
    <w:rsid w:val="00AF3E74"/>
    <w:rsid w:val="00AF42DF"/>
    <w:rsid w:val="00AF44C0"/>
    <w:rsid w:val="00AF5877"/>
    <w:rsid w:val="00AF5A4B"/>
    <w:rsid w:val="00AF5B1D"/>
    <w:rsid w:val="00AF7028"/>
    <w:rsid w:val="00AF7752"/>
    <w:rsid w:val="00AF7BB5"/>
    <w:rsid w:val="00AF7BC6"/>
    <w:rsid w:val="00B00008"/>
    <w:rsid w:val="00B00193"/>
    <w:rsid w:val="00B00196"/>
    <w:rsid w:val="00B008CE"/>
    <w:rsid w:val="00B00C08"/>
    <w:rsid w:val="00B0107E"/>
    <w:rsid w:val="00B01C0C"/>
    <w:rsid w:val="00B02CC3"/>
    <w:rsid w:val="00B02F15"/>
    <w:rsid w:val="00B03E8A"/>
    <w:rsid w:val="00B04019"/>
    <w:rsid w:val="00B043EB"/>
    <w:rsid w:val="00B0544F"/>
    <w:rsid w:val="00B0587D"/>
    <w:rsid w:val="00B06236"/>
    <w:rsid w:val="00B062A4"/>
    <w:rsid w:val="00B06604"/>
    <w:rsid w:val="00B06934"/>
    <w:rsid w:val="00B069D6"/>
    <w:rsid w:val="00B06A66"/>
    <w:rsid w:val="00B074D2"/>
    <w:rsid w:val="00B07B12"/>
    <w:rsid w:val="00B105B0"/>
    <w:rsid w:val="00B108A3"/>
    <w:rsid w:val="00B10B1C"/>
    <w:rsid w:val="00B10E90"/>
    <w:rsid w:val="00B11969"/>
    <w:rsid w:val="00B12537"/>
    <w:rsid w:val="00B12BC9"/>
    <w:rsid w:val="00B136B4"/>
    <w:rsid w:val="00B13E09"/>
    <w:rsid w:val="00B140F8"/>
    <w:rsid w:val="00B14CA5"/>
    <w:rsid w:val="00B1510B"/>
    <w:rsid w:val="00B16731"/>
    <w:rsid w:val="00B16926"/>
    <w:rsid w:val="00B1704F"/>
    <w:rsid w:val="00B1720B"/>
    <w:rsid w:val="00B17B56"/>
    <w:rsid w:val="00B17E1E"/>
    <w:rsid w:val="00B20B86"/>
    <w:rsid w:val="00B21636"/>
    <w:rsid w:val="00B2183A"/>
    <w:rsid w:val="00B21ACB"/>
    <w:rsid w:val="00B221A3"/>
    <w:rsid w:val="00B226D7"/>
    <w:rsid w:val="00B23081"/>
    <w:rsid w:val="00B232FE"/>
    <w:rsid w:val="00B23F59"/>
    <w:rsid w:val="00B23FF5"/>
    <w:rsid w:val="00B2463E"/>
    <w:rsid w:val="00B249E3"/>
    <w:rsid w:val="00B24C82"/>
    <w:rsid w:val="00B24D44"/>
    <w:rsid w:val="00B24DD2"/>
    <w:rsid w:val="00B25159"/>
    <w:rsid w:val="00B25251"/>
    <w:rsid w:val="00B25ED2"/>
    <w:rsid w:val="00B26356"/>
    <w:rsid w:val="00B27A96"/>
    <w:rsid w:val="00B27D1D"/>
    <w:rsid w:val="00B30044"/>
    <w:rsid w:val="00B309BA"/>
    <w:rsid w:val="00B3111E"/>
    <w:rsid w:val="00B3184F"/>
    <w:rsid w:val="00B31ACC"/>
    <w:rsid w:val="00B3238C"/>
    <w:rsid w:val="00B325B5"/>
    <w:rsid w:val="00B33AE3"/>
    <w:rsid w:val="00B33C57"/>
    <w:rsid w:val="00B33D7D"/>
    <w:rsid w:val="00B34168"/>
    <w:rsid w:val="00B34757"/>
    <w:rsid w:val="00B349BC"/>
    <w:rsid w:val="00B35059"/>
    <w:rsid w:val="00B36155"/>
    <w:rsid w:val="00B36461"/>
    <w:rsid w:val="00B37B9B"/>
    <w:rsid w:val="00B404F2"/>
    <w:rsid w:val="00B41824"/>
    <w:rsid w:val="00B424BD"/>
    <w:rsid w:val="00B424CC"/>
    <w:rsid w:val="00B44427"/>
    <w:rsid w:val="00B4464E"/>
    <w:rsid w:val="00B455D8"/>
    <w:rsid w:val="00B46A44"/>
    <w:rsid w:val="00B46DFB"/>
    <w:rsid w:val="00B47E83"/>
    <w:rsid w:val="00B50257"/>
    <w:rsid w:val="00B5032F"/>
    <w:rsid w:val="00B515CB"/>
    <w:rsid w:val="00B51A4C"/>
    <w:rsid w:val="00B526D6"/>
    <w:rsid w:val="00B52845"/>
    <w:rsid w:val="00B52DE4"/>
    <w:rsid w:val="00B52E66"/>
    <w:rsid w:val="00B533F9"/>
    <w:rsid w:val="00B53D80"/>
    <w:rsid w:val="00B54417"/>
    <w:rsid w:val="00B548EE"/>
    <w:rsid w:val="00B54AE0"/>
    <w:rsid w:val="00B5566D"/>
    <w:rsid w:val="00B55E03"/>
    <w:rsid w:val="00B56625"/>
    <w:rsid w:val="00B56963"/>
    <w:rsid w:val="00B57165"/>
    <w:rsid w:val="00B572CF"/>
    <w:rsid w:val="00B5757D"/>
    <w:rsid w:val="00B60465"/>
    <w:rsid w:val="00B6074D"/>
    <w:rsid w:val="00B60CB1"/>
    <w:rsid w:val="00B60D92"/>
    <w:rsid w:val="00B61626"/>
    <w:rsid w:val="00B61A4A"/>
    <w:rsid w:val="00B621E3"/>
    <w:rsid w:val="00B62261"/>
    <w:rsid w:val="00B625E4"/>
    <w:rsid w:val="00B6289D"/>
    <w:rsid w:val="00B637A7"/>
    <w:rsid w:val="00B638DA"/>
    <w:rsid w:val="00B63C38"/>
    <w:rsid w:val="00B63F25"/>
    <w:rsid w:val="00B6461E"/>
    <w:rsid w:val="00B650DA"/>
    <w:rsid w:val="00B65224"/>
    <w:rsid w:val="00B656EC"/>
    <w:rsid w:val="00B658A9"/>
    <w:rsid w:val="00B65BDE"/>
    <w:rsid w:val="00B65C82"/>
    <w:rsid w:val="00B6619A"/>
    <w:rsid w:val="00B6621B"/>
    <w:rsid w:val="00B669E1"/>
    <w:rsid w:val="00B66BE9"/>
    <w:rsid w:val="00B67621"/>
    <w:rsid w:val="00B70012"/>
    <w:rsid w:val="00B70364"/>
    <w:rsid w:val="00B70572"/>
    <w:rsid w:val="00B70BDF"/>
    <w:rsid w:val="00B7179C"/>
    <w:rsid w:val="00B71E0D"/>
    <w:rsid w:val="00B72302"/>
    <w:rsid w:val="00B726C9"/>
    <w:rsid w:val="00B72805"/>
    <w:rsid w:val="00B728E2"/>
    <w:rsid w:val="00B73CD2"/>
    <w:rsid w:val="00B7456A"/>
    <w:rsid w:val="00B748B0"/>
    <w:rsid w:val="00B753CD"/>
    <w:rsid w:val="00B75628"/>
    <w:rsid w:val="00B7593F"/>
    <w:rsid w:val="00B75D95"/>
    <w:rsid w:val="00B75FA6"/>
    <w:rsid w:val="00B76BB8"/>
    <w:rsid w:val="00B76C90"/>
    <w:rsid w:val="00B773BE"/>
    <w:rsid w:val="00B7750C"/>
    <w:rsid w:val="00B81604"/>
    <w:rsid w:val="00B8185F"/>
    <w:rsid w:val="00B82164"/>
    <w:rsid w:val="00B82889"/>
    <w:rsid w:val="00B82B8D"/>
    <w:rsid w:val="00B82EB5"/>
    <w:rsid w:val="00B83676"/>
    <w:rsid w:val="00B83925"/>
    <w:rsid w:val="00B8436A"/>
    <w:rsid w:val="00B846D0"/>
    <w:rsid w:val="00B84F4D"/>
    <w:rsid w:val="00B8563A"/>
    <w:rsid w:val="00B85A62"/>
    <w:rsid w:val="00B86038"/>
    <w:rsid w:val="00B8620D"/>
    <w:rsid w:val="00B86CDC"/>
    <w:rsid w:val="00B870E7"/>
    <w:rsid w:val="00B87B28"/>
    <w:rsid w:val="00B905FE"/>
    <w:rsid w:val="00B90611"/>
    <w:rsid w:val="00B90B9B"/>
    <w:rsid w:val="00B90C7E"/>
    <w:rsid w:val="00B90D85"/>
    <w:rsid w:val="00B917BC"/>
    <w:rsid w:val="00B91A3B"/>
    <w:rsid w:val="00B92124"/>
    <w:rsid w:val="00B9219C"/>
    <w:rsid w:val="00B9220A"/>
    <w:rsid w:val="00B9280A"/>
    <w:rsid w:val="00B92F09"/>
    <w:rsid w:val="00B93510"/>
    <w:rsid w:val="00B93B0C"/>
    <w:rsid w:val="00B94842"/>
    <w:rsid w:val="00B94B5B"/>
    <w:rsid w:val="00B95056"/>
    <w:rsid w:val="00B9678C"/>
    <w:rsid w:val="00B9702C"/>
    <w:rsid w:val="00B97148"/>
    <w:rsid w:val="00B97315"/>
    <w:rsid w:val="00B973AD"/>
    <w:rsid w:val="00BA01E9"/>
    <w:rsid w:val="00BA0A2B"/>
    <w:rsid w:val="00BA0CF1"/>
    <w:rsid w:val="00BA15F7"/>
    <w:rsid w:val="00BA215C"/>
    <w:rsid w:val="00BA23F0"/>
    <w:rsid w:val="00BA29E5"/>
    <w:rsid w:val="00BA3B5D"/>
    <w:rsid w:val="00BA3D4C"/>
    <w:rsid w:val="00BA3E5F"/>
    <w:rsid w:val="00BA44BE"/>
    <w:rsid w:val="00BA49E5"/>
    <w:rsid w:val="00BA5240"/>
    <w:rsid w:val="00BA7603"/>
    <w:rsid w:val="00BB0BA9"/>
    <w:rsid w:val="00BB17E4"/>
    <w:rsid w:val="00BB1980"/>
    <w:rsid w:val="00BB1B00"/>
    <w:rsid w:val="00BB275E"/>
    <w:rsid w:val="00BB276F"/>
    <w:rsid w:val="00BB27C1"/>
    <w:rsid w:val="00BB3CDB"/>
    <w:rsid w:val="00BB5B2C"/>
    <w:rsid w:val="00BB5E07"/>
    <w:rsid w:val="00BB65A1"/>
    <w:rsid w:val="00BB7496"/>
    <w:rsid w:val="00BB7C41"/>
    <w:rsid w:val="00BB7EC9"/>
    <w:rsid w:val="00BC0131"/>
    <w:rsid w:val="00BC1BA0"/>
    <w:rsid w:val="00BC1CF6"/>
    <w:rsid w:val="00BC1F8B"/>
    <w:rsid w:val="00BC20AA"/>
    <w:rsid w:val="00BC20C0"/>
    <w:rsid w:val="00BC24BE"/>
    <w:rsid w:val="00BC2A15"/>
    <w:rsid w:val="00BC35B4"/>
    <w:rsid w:val="00BC3FEA"/>
    <w:rsid w:val="00BC4478"/>
    <w:rsid w:val="00BC45AD"/>
    <w:rsid w:val="00BC4772"/>
    <w:rsid w:val="00BC4A5C"/>
    <w:rsid w:val="00BC4B07"/>
    <w:rsid w:val="00BC4D1E"/>
    <w:rsid w:val="00BC526B"/>
    <w:rsid w:val="00BC5764"/>
    <w:rsid w:val="00BC6242"/>
    <w:rsid w:val="00BC6A56"/>
    <w:rsid w:val="00BC6A87"/>
    <w:rsid w:val="00BC6E18"/>
    <w:rsid w:val="00BC70E7"/>
    <w:rsid w:val="00BC72F8"/>
    <w:rsid w:val="00BC7704"/>
    <w:rsid w:val="00BC7992"/>
    <w:rsid w:val="00BC7A93"/>
    <w:rsid w:val="00BC7B23"/>
    <w:rsid w:val="00BD0313"/>
    <w:rsid w:val="00BD031D"/>
    <w:rsid w:val="00BD1635"/>
    <w:rsid w:val="00BD1BEE"/>
    <w:rsid w:val="00BD1EBE"/>
    <w:rsid w:val="00BD2F26"/>
    <w:rsid w:val="00BD3764"/>
    <w:rsid w:val="00BD3855"/>
    <w:rsid w:val="00BD4559"/>
    <w:rsid w:val="00BD54BB"/>
    <w:rsid w:val="00BD56C0"/>
    <w:rsid w:val="00BD5721"/>
    <w:rsid w:val="00BD6069"/>
    <w:rsid w:val="00BD65EB"/>
    <w:rsid w:val="00BD68F0"/>
    <w:rsid w:val="00BD6D68"/>
    <w:rsid w:val="00BD6E58"/>
    <w:rsid w:val="00BD734F"/>
    <w:rsid w:val="00BD755D"/>
    <w:rsid w:val="00BD7E65"/>
    <w:rsid w:val="00BE039F"/>
    <w:rsid w:val="00BE0A54"/>
    <w:rsid w:val="00BE2137"/>
    <w:rsid w:val="00BE3634"/>
    <w:rsid w:val="00BE3AEE"/>
    <w:rsid w:val="00BE4072"/>
    <w:rsid w:val="00BE420C"/>
    <w:rsid w:val="00BE4960"/>
    <w:rsid w:val="00BE5270"/>
    <w:rsid w:val="00BE54D5"/>
    <w:rsid w:val="00BE639A"/>
    <w:rsid w:val="00BE7658"/>
    <w:rsid w:val="00BE7766"/>
    <w:rsid w:val="00BE7D90"/>
    <w:rsid w:val="00BE7E88"/>
    <w:rsid w:val="00BF10A8"/>
    <w:rsid w:val="00BF1180"/>
    <w:rsid w:val="00BF3492"/>
    <w:rsid w:val="00BF656E"/>
    <w:rsid w:val="00BF6835"/>
    <w:rsid w:val="00BF6C38"/>
    <w:rsid w:val="00BF7979"/>
    <w:rsid w:val="00C00C9E"/>
    <w:rsid w:val="00C01358"/>
    <w:rsid w:val="00C01AF4"/>
    <w:rsid w:val="00C03BF6"/>
    <w:rsid w:val="00C03C67"/>
    <w:rsid w:val="00C03FF6"/>
    <w:rsid w:val="00C0460B"/>
    <w:rsid w:val="00C04670"/>
    <w:rsid w:val="00C054E4"/>
    <w:rsid w:val="00C0577D"/>
    <w:rsid w:val="00C05CC3"/>
    <w:rsid w:val="00C062AC"/>
    <w:rsid w:val="00C06467"/>
    <w:rsid w:val="00C06935"/>
    <w:rsid w:val="00C06BB2"/>
    <w:rsid w:val="00C070EF"/>
    <w:rsid w:val="00C07C38"/>
    <w:rsid w:val="00C10E46"/>
    <w:rsid w:val="00C11361"/>
    <w:rsid w:val="00C1155C"/>
    <w:rsid w:val="00C11C27"/>
    <w:rsid w:val="00C12EBD"/>
    <w:rsid w:val="00C130F3"/>
    <w:rsid w:val="00C136BB"/>
    <w:rsid w:val="00C137D6"/>
    <w:rsid w:val="00C13DC0"/>
    <w:rsid w:val="00C1401E"/>
    <w:rsid w:val="00C14A54"/>
    <w:rsid w:val="00C15298"/>
    <w:rsid w:val="00C1531F"/>
    <w:rsid w:val="00C15493"/>
    <w:rsid w:val="00C16400"/>
    <w:rsid w:val="00C16B6B"/>
    <w:rsid w:val="00C16FA0"/>
    <w:rsid w:val="00C170E4"/>
    <w:rsid w:val="00C175E2"/>
    <w:rsid w:val="00C201A5"/>
    <w:rsid w:val="00C205AE"/>
    <w:rsid w:val="00C20A80"/>
    <w:rsid w:val="00C20AE8"/>
    <w:rsid w:val="00C210D9"/>
    <w:rsid w:val="00C2126F"/>
    <w:rsid w:val="00C219D1"/>
    <w:rsid w:val="00C21DB5"/>
    <w:rsid w:val="00C22B98"/>
    <w:rsid w:val="00C23392"/>
    <w:rsid w:val="00C2378E"/>
    <w:rsid w:val="00C23E5D"/>
    <w:rsid w:val="00C242CA"/>
    <w:rsid w:val="00C242EB"/>
    <w:rsid w:val="00C25377"/>
    <w:rsid w:val="00C26559"/>
    <w:rsid w:val="00C268A5"/>
    <w:rsid w:val="00C26D3B"/>
    <w:rsid w:val="00C2709D"/>
    <w:rsid w:val="00C272F4"/>
    <w:rsid w:val="00C30284"/>
    <w:rsid w:val="00C30603"/>
    <w:rsid w:val="00C30AF7"/>
    <w:rsid w:val="00C3294C"/>
    <w:rsid w:val="00C32D6A"/>
    <w:rsid w:val="00C33428"/>
    <w:rsid w:val="00C3562C"/>
    <w:rsid w:val="00C35838"/>
    <w:rsid w:val="00C3583B"/>
    <w:rsid w:val="00C35F0A"/>
    <w:rsid w:val="00C35F3C"/>
    <w:rsid w:val="00C36309"/>
    <w:rsid w:val="00C36463"/>
    <w:rsid w:val="00C36D3C"/>
    <w:rsid w:val="00C36E94"/>
    <w:rsid w:val="00C378CC"/>
    <w:rsid w:val="00C37D4E"/>
    <w:rsid w:val="00C406DD"/>
    <w:rsid w:val="00C409F7"/>
    <w:rsid w:val="00C4154A"/>
    <w:rsid w:val="00C41758"/>
    <w:rsid w:val="00C418E3"/>
    <w:rsid w:val="00C418E8"/>
    <w:rsid w:val="00C431C2"/>
    <w:rsid w:val="00C44D33"/>
    <w:rsid w:val="00C45DCF"/>
    <w:rsid w:val="00C461D2"/>
    <w:rsid w:val="00C463DB"/>
    <w:rsid w:val="00C46521"/>
    <w:rsid w:val="00C47843"/>
    <w:rsid w:val="00C507F9"/>
    <w:rsid w:val="00C50AEE"/>
    <w:rsid w:val="00C50DEE"/>
    <w:rsid w:val="00C52DAF"/>
    <w:rsid w:val="00C52E3B"/>
    <w:rsid w:val="00C532C3"/>
    <w:rsid w:val="00C53325"/>
    <w:rsid w:val="00C53687"/>
    <w:rsid w:val="00C54BFA"/>
    <w:rsid w:val="00C558F7"/>
    <w:rsid w:val="00C5626B"/>
    <w:rsid w:val="00C56AF9"/>
    <w:rsid w:val="00C56C02"/>
    <w:rsid w:val="00C56CA3"/>
    <w:rsid w:val="00C56DB4"/>
    <w:rsid w:val="00C56DFB"/>
    <w:rsid w:val="00C56E38"/>
    <w:rsid w:val="00C575F7"/>
    <w:rsid w:val="00C577C8"/>
    <w:rsid w:val="00C57914"/>
    <w:rsid w:val="00C600DD"/>
    <w:rsid w:val="00C601B4"/>
    <w:rsid w:val="00C60C57"/>
    <w:rsid w:val="00C612B0"/>
    <w:rsid w:val="00C612CD"/>
    <w:rsid w:val="00C62864"/>
    <w:rsid w:val="00C62A5F"/>
    <w:rsid w:val="00C646BD"/>
    <w:rsid w:val="00C647E1"/>
    <w:rsid w:val="00C65007"/>
    <w:rsid w:val="00C65066"/>
    <w:rsid w:val="00C652BE"/>
    <w:rsid w:val="00C65E38"/>
    <w:rsid w:val="00C666D4"/>
    <w:rsid w:val="00C67A4D"/>
    <w:rsid w:val="00C70254"/>
    <w:rsid w:val="00C702D3"/>
    <w:rsid w:val="00C7039B"/>
    <w:rsid w:val="00C704DD"/>
    <w:rsid w:val="00C70550"/>
    <w:rsid w:val="00C70F3C"/>
    <w:rsid w:val="00C71201"/>
    <w:rsid w:val="00C72910"/>
    <w:rsid w:val="00C72A16"/>
    <w:rsid w:val="00C7385D"/>
    <w:rsid w:val="00C7394B"/>
    <w:rsid w:val="00C73F08"/>
    <w:rsid w:val="00C745DE"/>
    <w:rsid w:val="00C74950"/>
    <w:rsid w:val="00C75423"/>
    <w:rsid w:val="00C7582D"/>
    <w:rsid w:val="00C75B3F"/>
    <w:rsid w:val="00C76E22"/>
    <w:rsid w:val="00C77693"/>
    <w:rsid w:val="00C77A8C"/>
    <w:rsid w:val="00C77AAD"/>
    <w:rsid w:val="00C80A05"/>
    <w:rsid w:val="00C82E6A"/>
    <w:rsid w:val="00C83FC4"/>
    <w:rsid w:val="00C84137"/>
    <w:rsid w:val="00C84912"/>
    <w:rsid w:val="00C849F1"/>
    <w:rsid w:val="00C85132"/>
    <w:rsid w:val="00C87B24"/>
    <w:rsid w:val="00C90A64"/>
    <w:rsid w:val="00C90D5B"/>
    <w:rsid w:val="00C9181F"/>
    <w:rsid w:val="00C91970"/>
    <w:rsid w:val="00C92576"/>
    <w:rsid w:val="00C92B29"/>
    <w:rsid w:val="00C9309D"/>
    <w:rsid w:val="00C9311D"/>
    <w:rsid w:val="00C93130"/>
    <w:rsid w:val="00C935CA"/>
    <w:rsid w:val="00C938AC"/>
    <w:rsid w:val="00C94BA5"/>
    <w:rsid w:val="00C96562"/>
    <w:rsid w:val="00C967A6"/>
    <w:rsid w:val="00C96990"/>
    <w:rsid w:val="00C96C34"/>
    <w:rsid w:val="00C96C48"/>
    <w:rsid w:val="00CA03BF"/>
    <w:rsid w:val="00CA03C8"/>
    <w:rsid w:val="00CA10D9"/>
    <w:rsid w:val="00CA1458"/>
    <w:rsid w:val="00CA1ED7"/>
    <w:rsid w:val="00CA31D4"/>
    <w:rsid w:val="00CA35BB"/>
    <w:rsid w:val="00CA3C2B"/>
    <w:rsid w:val="00CA41D6"/>
    <w:rsid w:val="00CA4448"/>
    <w:rsid w:val="00CA4894"/>
    <w:rsid w:val="00CA4DBE"/>
    <w:rsid w:val="00CA5486"/>
    <w:rsid w:val="00CA5597"/>
    <w:rsid w:val="00CA58D9"/>
    <w:rsid w:val="00CA6565"/>
    <w:rsid w:val="00CA67D4"/>
    <w:rsid w:val="00CA696B"/>
    <w:rsid w:val="00CA722A"/>
    <w:rsid w:val="00CA7F3E"/>
    <w:rsid w:val="00CB0C05"/>
    <w:rsid w:val="00CB14F6"/>
    <w:rsid w:val="00CB15FC"/>
    <w:rsid w:val="00CB1AD2"/>
    <w:rsid w:val="00CB1DE4"/>
    <w:rsid w:val="00CB23BF"/>
    <w:rsid w:val="00CB249A"/>
    <w:rsid w:val="00CB2C74"/>
    <w:rsid w:val="00CB311A"/>
    <w:rsid w:val="00CB3AD2"/>
    <w:rsid w:val="00CB4326"/>
    <w:rsid w:val="00CB4A20"/>
    <w:rsid w:val="00CB614D"/>
    <w:rsid w:val="00CB62FC"/>
    <w:rsid w:val="00CB6CA8"/>
    <w:rsid w:val="00CB7263"/>
    <w:rsid w:val="00CB7EFF"/>
    <w:rsid w:val="00CC0E93"/>
    <w:rsid w:val="00CC1182"/>
    <w:rsid w:val="00CC1CED"/>
    <w:rsid w:val="00CC2294"/>
    <w:rsid w:val="00CC2344"/>
    <w:rsid w:val="00CC2433"/>
    <w:rsid w:val="00CC243B"/>
    <w:rsid w:val="00CC2A92"/>
    <w:rsid w:val="00CC323F"/>
    <w:rsid w:val="00CC3EEB"/>
    <w:rsid w:val="00CC4773"/>
    <w:rsid w:val="00CC4A60"/>
    <w:rsid w:val="00CC4AC0"/>
    <w:rsid w:val="00CC5D02"/>
    <w:rsid w:val="00CC5EA3"/>
    <w:rsid w:val="00CC6AB4"/>
    <w:rsid w:val="00CD06FB"/>
    <w:rsid w:val="00CD0CA1"/>
    <w:rsid w:val="00CD1472"/>
    <w:rsid w:val="00CD1766"/>
    <w:rsid w:val="00CD1BD3"/>
    <w:rsid w:val="00CD231B"/>
    <w:rsid w:val="00CD2455"/>
    <w:rsid w:val="00CD2B48"/>
    <w:rsid w:val="00CD37B8"/>
    <w:rsid w:val="00CD3B57"/>
    <w:rsid w:val="00CD3C4A"/>
    <w:rsid w:val="00CD460E"/>
    <w:rsid w:val="00CD4C19"/>
    <w:rsid w:val="00CD4E5B"/>
    <w:rsid w:val="00CD5740"/>
    <w:rsid w:val="00CD5BFB"/>
    <w:rsid w:val="00CD6F21"/>
    <w:rsid w:val="00CD734F"/>
    <w:rsid w:val="00CD761B"/>
    <w:rsid w:val="00CD786C"/>
    <w:rsid w:val="00CD7D38"/>
    <w:rsid w:val="00CE00DC"/>
    <w:rsid w:val="00CE0280"/>
    <w:rsid w:val="00CE1539"/>
    <w:rsid w:val="00CE15E5"/>
    <w:rsid w:val="00CE28F1"/>
    <w:rsid w:val="00CE3845"/>
    <w:rsid w:val="00CE417D"/>
    <w:rsid w:val="00CE44F8"/>
    <w:rsid w:val="00CE4705"/>
    <w:rsid w:val="00CE4DDE"/>
    <w:rsid w:val="00CE55FE"/>
    <w:rsid w:val="00CE581A"/>
    <w:rsid w:val="00CE5D62"/>
    <w:rsid w:val="00CE6004"/>
    <w:rsid w:val="00CE61AD"/>
    <w:rsid w:val="00CE67F3"/>
    <w:rsid w:val="00CE725E"/>
    <w:rsid w:val="00CE7779"/>
    <w:rsid w:val="00CE7B42"/>
    <w:rsid w:val="00CE7C8D"/>
    <w:rsid w:val="00CE7F37"/>
    <w:rsid w:val="00CF0095"/>
    <w:rsid w:val="00CF1FCE"/>
    <w:rsid w:val="00CF218C"/>
    <w:rsid w:val="00CF2715"/>
    <w:rsid w:val="00CF4409"/>
    <w:rsid w:val="00CF44F9"/>
    <w:rsid w:val="00CF46A3"/>
    <w:rsid w:val="00CF4992"/>
    <w:rsid w:val="00CF49B4"/>
    <w:rsid w:val="00CF4E6D"/>
    <w:rsid w:val="00CF584F"/>
    <w:rsid w:val="00CF5FEB"/>
    <w:rsid w:val="00CF6BDE"/>
    <w:rsid w:val="00CF76EE"/>
    <w:rsid w:val="00CF77EF"/>
    <w:rsid w:val="00CF7899"/>
    <w:rsid w:val="00CF7933"/>
    <w:rsid w:val="00D00E10"/>
    <w:rsid w:val="00D016F5"/>
    <w:rsid w:val="00D01DEA"/>
    <w:rsid w:val="00D0239A"/>
    <w:rsid w:val="00D025AC"/>
    <w:rsid w:val="00D026FC"/>
    <w:rsid w:val="00D03C15"/>
    <w:rsid w:val="00D03F94"/>
    <w:rsid w:val="00D04A00"/>
    <w:rsid w:val="00D06468"/>
    <w:rsid w:val="00D06513"/>
    <w:rsid w:val="00D06CD6"/>
    <w:rsid w:val="00D10A46"/>
    <w:rsid w:val="00D1140E"/>
    <w:rsid w:val="00D11E68"/>
    <w:rsid w:val="00D123A0"/>
    <w:rsid w:val="00D126EC"/>
    <w:rsid w:val="00D13371"/>
    <w:rsid w:val="00D13FBA"/>
    <w:rsid w:val="00D14190"/>
    <w:rsid w:val="00D153E0"/>
    <w:rsid w:val="00D15538"/>
    <w:rsid w:val="00D1568A"/>
    <w:rsid w:val="00D16B34"/>
    <w:rsid w:val="00D1724B"/>
    <w:rsid w:val="00D175F6"/>
    <w:rsid w:val="00D17747"/>
    <w:rsid w:val="00D20243"/>
    <w:rsid w:val="00D20D65"/>
    <w:rsid w:val="00D2157C"/>
    <w:rsid w:val="00D21A76"/>
    <w:rsid w:val="00D21CA5"/>
    <w:rsid w:val="00D21D66"/>
    <w:rsid w:val="00D231CC"/>
    <w:rsid w:val="00D244C3"/>
    <w:rsid w:val="00D25102"/>
    <w:rsid w:val="00D25950"/>
    <w:rsid w:val="00D264C9"/>
    <w:rsid w:val="00D26EAA"/>
    <w:rsid w:val="00D26ED3"/>
    <w:rsid w:val="00D279DE"/>
    <w:rsid w:val="00D27DD2"/>
    <w:rsid w:val="00D27EB2"/>
    <w:rsid w:val="00D304B8"/>
    <w:rsid w:val="00D30E3A"/>
    <w:rsid w:val="00D31617"/>
    <w:rsid w:val="00D316A4"/>
    <w:rsid w:val="00D328CD"/>
    <w:rsid w:val="00D32AEE"/>
    <w:rsid w:val="00D34125"/>
    <w:rsid w:val="00D3462F"/>
    <w:rsid w:val="00D35270"/>
    <w:rsid w:val="00D3551D"/>
    <w:rsid w:val="00D35A6D"/>
    <w:rsid w:val="00D36AB3"/>
    <w:rsid w:val="00D36CCD"/>
    <w:rsid w:val="00D36ED1"/>
    <w:rsid w:val="00D4037E"/>
    <w:rsid w:val="00D41435"/>
    <w:rsid w:val="00D4160C"/>
    <w:rsid w:val="00D42263"/>
    <w:rsid w:val="00D42B83"/>
    <w:rsid w:val="00D4396E"/>
    <w:rsid w:val="00D4461C"/>
    <w:rsid w:val="00D456EB"/>
    <w:rsid w:val="00D46AF5"/>
    <w:rsid w:val="00D47B46"/>
    <w:rsid w:val="00D47EA2"/>
    <w:rsid w:val="00D5040D"/>
    <w:rsid w:val="00D51809"/>
    <w:rsid w:val="00D52A64"/>
    <w:rsid w:val="00D53A0D"/>
    <w:rsid w:val="00D5424D"/>
    <w:rsid w:val="00D5426F"/>
    <w:rsid w:val="00D54582"/>
    <w:rsid w:val="00D56026"/>
    <w:rsid w:val="00D56EAE"/>
    <w:rsid w:val="00D57D3C"/>
    <w:rsid w:val="00D57D48"/>
    <w:rsid w:val="00D602E9"/>
    <w:rsid w:val="00D60C5C"/>
    <w:rsid w:val="00D61786"/>
    <w:rsid w:val="00D639E4"/>
    <w:rsid w:val="00D63B44"/>
    <w:rsid w:val="00D63D2A"/>
    <w:rsid w:val="00D63E67"/>
    <w:rsid w:val="00D64202"/>
    <w:rsid w:val="00D646B9"/>
    <w:rsid w:val="00D652AF"/>
    <w:rsid w:val="00D65780"/>
    <w:rsid w:val="00D65BFD"/>
    <w:rsid w:val="00D6605D"/>
    <w:rsid w:val="00D66262"/>
    <w:rsid w:val="00D66943"/>
    <w:rsid w:val="00D671B6"/>
    <w:rsid w:val="00D676FF"/>
    <w:rsid w:val="00D67FA5"/>
    <w:rsid w:val="00D707CC"/>
    <w:rsid w:val="00D707FF"/>
    <w:rsid w:val="00D7102C"/>
    <w:rsid w:val="00D715F2"/>
    <w:rsid w:val="00D71926"/>
    <w:rsid w:val="00D7204E"/>
    <w:rsid w:val="00D722A2"/>
    <w:rsid w:val="00D72B25"/>
    <w:rsid w:val="00D731BE"/>
    <w:rsid w:val="00D7462E"/>
    <w:rsid w:val="00D758C3"/>
    <w:rsid w:val="00D75AE6"/>
    <w:rsid w:val="00D75EF3"/>
    <w:rsid w:val="00D761D0"/>
    <w:rsid w:val="00D76387"/>
    <w:rsid w:val="00D76403"/>
    <w:rsid w:val="00D76B46"/>
    <w:rsid w:val="00D802E4"/>
    <w:rsid w:val="00D8068A"/>
    <w:rsid w:val="00D80C53"/>
    <w:rsid w:val="00D81530"/>
    <w:rsid w:val="00D8273B"/>
    <w:rsid w:val="00D828F4"/>
    <w:rsid w:val="00D82EA2"/>
    <w:rsid w:val="00D83478"/>
    <w:rsid w:val="00D83C03"/>
    <w:rsid w:val="00D83C77"/>
    <w:rsid w:val="00D842D4"/>
    <w:rsid w:val="00D84323"/>
    <w:rsid w:val="00D8503F"/>
    <w:rsid w:val="00D85547"/>
    <w:rsid w:val="00D85CD6"/>
    <w:rsid w:val="00D8631F"/>
    <w:rsid w:val="00D86495"/>
    <w:rsid w:val="00D87726"/>
    <w:rsid w:val="00D912C1"/>
    <w:rsid w:val="00D914C8"/>
    <w:rsid w:val="00D91DB6"/>
    <w:rsid w:val="00D91FE3"/>
    <w:rsid w:val="00D944B5"/>
    <w:rsid w:val="00D962F0"/>
    <w:rsid w:val="00D96F9A"/>
    <w:rsid w:val="00D97731"/>
    <w:rsid w:val="00DA0372"/>
    <w:rsid w:val="00DA120F"/>
    <w:rsid w:val="00DA147A"/>
    <w:rsid w:val="00DA27A6"/>
    <w:rsid w:val="00DA3367"/>
    <w:rsid w:val="00DA3E94"/>
    <w:rsid w:val="00DA4495"/>
    <w:rsid w:val="00DA4880"/>
    <w:rsid w:val="00DA4D9C"/>
    <w:rsid w:val="00DA584A"/>
    <w:rsid w:val="00DA5867"/>
    <w:rsid w:val="00DA6416"/>
    <w:rsid w:val="00DA6C43"/>
    <w:rsid w:val="00DA7C3B"/>
    <w:rsid w:val="00DB004E"/>
    <w:rsid w:val="00DB0295"/>
    <w:rsid w:val="00DB0BF5"/>
    <w:rsid w:val="00DB1159"/>
    <w:rsid w:val="00DB15B8"/>
    <w:rsid w:val="00DB25F9"/>
    <w:rsid w:val="00DB2638"/>
    <w:rsid w:val="00DB2721"/>
    <w:rsid w:val="00DB3BA7"/>
    <w:rsid w:val="00DB3E21"/>
    <w:rsid w:val="00DB3E96"/>
    <w:rsid w:val="00DB408D"/>
    <w:rsid w:val="00DB40D0"/>
    <w:rsid w:val="00DB410A"/>
    <w:rsid w:val="00DB4765"/>
    <w:rsid w:val="00DB47BB"/>
    <w:rsid w:val="00DB502F"/>
    <w:rsid w:val="00DB539B"/>
    <w:rsid w:val="00DB5425"/>
    <w:rsid w:val="00DB5D78"/>
    <w:rsid w:val="00DB64CF"/>
    <w:rsid w:val="00DB6774"/>
    <w:rsid w:val="00DB7082"/>
    <w:rsid w:val="00DC1326"/>
    <w:rsid w:val="00DC1A3A"/>
    <w:rsid w:val="00DC1E43"/>
    <w:rsid w:val="00DC20E5"/>
    <w:rsid w:val="00DC24CC"/>
    <w:rsid w:val="00DC295A"/>
    <w:rsid w:val="00DC2CCA"/>
    <w:rsid w:val="00DC2D47"/>
    <w:rsid w:val="00DC31D0"/>
    <w:rsid w:val="00DC3625"/>
    <w:rsid w:val="00DC41DD"/>
    <w:rsid w:val="00DC4385"/>
    <w:rsid w:val="00DC47CB"/>
    <w:rsid w:val="00DC4DB7"/>
    <w:rsid w:val="00DC504A"/>
    <w:rsid w:val="00DC51D1"/>
    <w:rsid w:val="00DC52D6"/>
    <w:rsid w:val="00DC551E"/>
    <w:rsid w:val="00DC6062"/>
    <w:rsid w:val="00DC68FD"/>
    <w:rsid w:val="00DC7A02"/>
    <w:rsid w:val="00DC7F93"/>
    <w:rsid w:val="00DD0A8F"/>
    <w:rsid w:val="00DD1089"/>
    <w:rsid w:val="00DD2313"/>
    <w:rsid w:val="00DD245E"/>
    <w:rsid w:val="00DD2A7B"/>
    <w:rsid w:val="00DD2E1F"/>
    <w:rsid w:val="00DD3066"/>
    <w:rsid w:val="00DD3584"/>
    <w:rsid w:val="00DD3B04"/>
    <w:rsid w:val="00DD41F8"/>
    <w:rsid w:val="00DD4985"/>
    <w:rsid w:val="00DD4AC7"/>
    <w:rsid w:val="00DD58E5"/>
    <w:rsid w:val="00DD59BD"/>
    <w:rsid w:val="00DD5D06"/>
    <w:rsid w:val="00DD5E30"/>
    <w:rsid w:val="00DD5FE9"/>
    <w:rsid w:val="00DD6535"/>
    <w:rsid w:val="00DE0A9A"/>
    <w:rsid w:val="00DE146F"/>
    <w:rsid w:val="00DE1566"/>
    <w:rsid w:val="00DE2401"/>
    <w:rsid w:val="00DE3534"/>
    <w:rsid w:val="00DE3E35"/>
    <w:rsid w:val="00DE4610"/>
    <w:rsid w:val="00DE4675"/>
    <w:rsid w:val="00DE479C"/>
    <w:rsid w:val="00DE47CD"/>
    <w:rsid w:val="00DE4A6A"/>
    <w:rsid w:val="00DE4D83"/>
    <w:rsid w:val="00DE4EB4"/>
    <w:rsid w:val="00DE56DE"/>
    <w:rsid w:val="00DE59E5"/>
    <w:rsid w:val="00DE656E"/>
    <w:rsid w:val="00DE6BE9"/>
    <w:rsid w:val="00DE6D17"/>
    <w:rsid w:val="00DE76FC"/>
    <w:rsid w:val="00DE7ADD"/>
    <w:rsid w:val="00DE7E6B"/>
    <w:rsid w:val="00DF0633"/>
    <w:rsid w:val="00DF0E52"/>
    <w:rsid w:val="00DF1F95"/>
    <w:rsid w:val="00DF23C5"/>
    <w:rsid w:val="00DF2807"/>
    <w:rsid w:val="00DF2859"/>
    <w:rsid w:val="00DF2AEE"/>
    <w:rsid w:val="00DF2BFC"/>
    <w:rsid w:val="00DF37BA"/>
    <w:rsid w:val="00DF3BB7"/>
    <w:rsid w:val="00DF3FF9"/>
    <w:rsid w:val="00DF4632"/>
    <w:rsid w:val="00DF4768"/>
    <w:rsid w:val="00DF4AB8"/>
    <w:rsid w:val="00DF4B7F"/>
    <w:rsid w:val="00DF6409"/>
    <w:rsid w:val="00DF67AD"/>
    <w:rsid w:val="00DF6943"/>
    <w:rsid w:val="00DF6B13"/>
    <w:rsid w:val="00DF7129"/>
    <w:rsid w:val="00DF7AC3"/>
    <w:rsid w:val="00E0041D"/>
    <w:rsid w:val="00E0045D"/>
    <w:rsid w:val="00E0077E"/>
    <w:rsid w:val="00E008E0"/>
    <w:rsid w:val="00E00910"/>
    <w:rsid w:val="00E00DF4"/>
    <w:rsid w:val="00E012C6"/>
    <w:rsid w:val="00E01DB5"/>
    <w:rsid w:val="00E02278"/>
    <w:rsid w:val="00E02DF7"/>
    <w:rsid w:val="00E034A5"/>
    <w:rsid w:val="00E03EF4"/>
    <w:rsid w:val="00E0400F"/>
    <w:rsid w:val="00E0402C"/>
    <w:rsid w:val="00E0467B"/>
    <w:rsid w:val="00E04EDD"/>
    <w:rsid w:val="00E06C9E"/>
    <w:rsid w:val="00E071E8"/>
    <w:rsid w:val="00E07647"/>
    <w:rsid w:val="00E10253"/>
    <w:rsid w:val="00E10387"/>
    <w:rsid w:val="00E10658"/>
    <w:rsid w:val="00E107DE"/>
    <w:rsid w:val="00E10AAF"/>
    <w:rsid w:val="00E111C5"/>
    <w:rsid w:val="00E11999"/>
    <w:rsid w:val="00E12898"/>
    <w:rsid w:val="00E12999"/>
    <w:rsid w:val="00E129EC"/>
    <w:rsid w:val="00E13723"/>
    <w:rsid w:val="00E14279"/>
    <w:rsid w:val="00E15708"/>
    <w:rsid w:val="00E161E2"/>
    <w:rsid w:val="00E1768F"/>
    <w:rsid w:val="00E20CCD"/>
    <w:rsid w:val="00E21877"/>
    <w:rsid w:val="00E23048"/>
    <w:rsid w:val="00E23CCC"/>
    <w:rsid w:val="00E245D1"/>
    <w:rsid w:val="00E2495C"/>
    <w:rsid w:val="00E24C69"/>
    <w:rsid w:val="00E24FF8"/>
    <w:rsid w:val="00E2551A"/>
    <w:rsid w:val="00E25564"/>
    <w:rsid w:val="00E27263"/>
    <w:rsid w:val="00E273BE"/>
    <w:rsid w:val="00E27A9C"/>
    <w:rsid w:val="00E27B04"/>
    <w:rsid w:val="00E302E0"/>
    <w:rsid w:val="00E30814"/>
    <w:rsid w:val="00E30E55"/>
    <w:rsid w:val="00E31BE3"/>
    <w:rsid w:val="00E326BD"/>
    <w:rsid w:val="00E336BD"/>
    <w:rsid w:val="00E35D4A"/>
    <w:rsid w:val="00E3698D"/>
    <w:rsid w:val="00E371AD"/>
    <w:rsid w:val="00E37914"/>
    <w:rsid w:val="00E37D2C"/>
    <w:rsid w:val="00E401AE"/>
    <w:rsid w:val="00E4079D"/>
    <w:rsid w:val="00E407BD"/>
    <w:rsid w:val="00E4113D"/>
    <w:rsid w:val="00E41457"/>
    <w:rsid w:val="00E42D77"/>
    <w:rsid w:val="00E4353E"/>
    <w:rsid w:val="00E43762"/>
    <w:rsid w:val="00E43816"/>
    <w:rsid w:val="00E4395F"/>
    <w:rsid w:val="00E44011"/>
    <w:rsid w:val="00E44810"/>
    <w:rsid w:val="00E44948"/>
    <w:rsid w:val="00E44BAC"/>
    <w:rsid w:val="00E44BD0"/>
    <w:rsid w:val="00E45451"/>
    <w:rsid w:val="00E45568"/>
    <w:rsid w:val="00E458DC"/>
    <w:rsid w:val="00E46864"/>
    <w:rsid w:val="00E47131"/>
    <w:rsid w:val="00E4757D"/>
    <w:rsid w:val="00E47FEC"/>
    <w:rsid w:val="00E50A92"/>
    <w:rsid w:val="00E50C7D"/>
    <w:rsid w:val="00E50DA5"/>
    <w:rsid w:val="00E510D3"/>
    <w:rsid w:val="00E51FCB"/>
    <w:rsid w:val="00E52324"/>
    <w:rsid w:val="00E526BF"/>
    <w:rsid w:val="00E527F6"/>
    <w:rsid w:val="00E52A47"/>
    <w:rsid w:val="00E52B6C"/>
    <w:rsid w:val="00E53305"/>
    <w:rsid w:val="00E53906"/>
    <w:rsid w:val="00E53B6E"/>
    <w:rsid w:val="00E53FB6"/>
    <w:rsid w:val="00E54797"/>
    <w:rsid w:val="00E54DB4"/>
    <w:rsid w:val="00E54F10"/>
    <w:rsid w:val="00E55CCD"/>
    <w:rsid w:val="00E56224"/>
    <w:rsid w:val="00E574F3"/>
    <w:rsid w:val="00E57DF4"/>
    <w:rsid w:val="00E60333"/>
    <w:rsid w:val="00E603BF"/>
    <w:rsid w:val="00E619B5"/>
    <w:rsid w:val="00E61FE6"/>
    <w:rsid w:val="00E62D7A"/>
    <w:rsid w:val="00E63139"/>
    <w:rsid w:val="00E63911"/>
    <w:rsid w:val="00E63CA0"/>
    <w:rsid w:val="00E6437A"/>
    <w:rsid w:val="00E648B5"/>
    <w:rsid w:val="00E65B34"/>
    <w:rsid w:val="00E667D0"/>
    <w:rsid w:val="00E668C3"/>
    <w:rsid w:val="00E66DF3"/>
    <w:rsid w:val="00E67106"/>
    <w:rsid w:val="00E6739C"/>
    <w:rsid w:val="00E70778"/>
    <w:rsid w:val="00E70B54"/>
    <w:rsid w:val="00E71412"/>
    <w:rsid w:val="00E718BC"/>
    <w:rsid w:val="00E71990"/>
    <w:rsid w:val="00E71C72"/>
    <w:rsid w:val="00E72221"/>
    <w:rsid w:val="00E722BE"/>
    <w:rsid w:val="00E7231A"/>
    <w:rsid w:val="00E723A9"/>
    <w:rsid w:val="00E72769"/>
    <w:rsid w:val="00E73B9D"/>
    <w:rsid w:val="00E73E28"/>
    <w:rsid w:val="00E74223"/>
    <w:rsid w:val="00E74D3D"/>
    <w:rsid w:val="00E7517C"/>
    <w:rsid w:val="00E76525"/>
    <w:rsid w:val="00E76AAA"/>
    <w:rsid w:val="00E76BB9"/>
    <w:rsid w:val="00E7702C"/>
    <w:rsid w:val="00E77E4F"/>
    <w:rsid w:val="00E80106"/>
    <w:rsid w:val="00E801BE"/>
    <w:rsid w:val="00E80318"/>
    <w:rsid w:val="00E80351"/>
    <w:rsid w:val="00E8036D"/>
    <w:rsid w:val="00E80833"/>
    <w:rsid w:val="00E816F4"/>
    <w:rsid w:val="00E81945"/>
    <w:rsid w:val="00E81BA2"/>
    <w:rsid w:val="00E826BE"/>
    <w:rsid w:val="00E82CDD"/>
    <w:rsid w:val="00E82F75"/>
    <w:rsid w:val="00E84409"/>
    <w:rsid w:val="00E848EF"/>
    <w:rsid w:val="00E84980"/>
    <w:rsid w:val="00E84A0C"/>
    <w:rsid w:val="00E85536"/>
    <w:rsid w:val="00E86594"/>
    <w:rsid w:val="00E86D2B"/>
    <w:rsid w:val="00E870D5"/>
    <w:rsid w:val="00E876D4"/>
    <w:rsid w:val="00E87E1E"/>
    <w:rsid w:val="00E9026A"/>
    <w:rsid w:val="00E90442"/>
    <w:rsid w:val="00E9061D"/>
    <w:rsid w:val="00E90D62"/>
    <w:rsid w:val="00E90EB5"/>
    <w:rsid w:val="00E910E4"/>
    <w:rsid w:val="00E91B27"/>
    <w:rsid w:val="00E91F86"/>
    <w:rsid w:val="00E9228B"/>
    <w:rsid w:val="00E92A12"/>
    <w:rsid w:val="00E94996"/>
    <w:rsid w:val="00E95108"/>
    <w:rsid w:val="00E95BDC"/>
    <w:rsid w:val="00E960C9"/>
    <w:rsid w:val="00E96A5D"/>
    <w:rsid w:val="00E96BFF"/>
    <w:rsid w:val="00E96DAB"/>
    <w:rsid w:val="00E96E52"/>
    <w:rsid w:val="00E96FB3"/>
    <w:rsid w:val="00E976A1"/>
    <w:rsid w:val="00E97E5A"/>
    <w:rsid w:val="00E97F2F"/>
    <w:rsid w:val="00EA0CFB"/>
    <w:rsid w:val="00EA0F20"/>
    <w:rsid w:val="00EA1190"/>
    <w:rsid w:val="00EA1506"/>
    <w:rsid w:val="00EA174B"/>
    <w:rsid w:val="00EA1B24"/>
    <w:rsid w:val="00EA1E1F"/>
    <w:rsid w:val="00EA2818"/>
    <w:rsid w:val="00EA3690"/>
    <w:rsid w:val="00EA491C"/>
    <w:rsid w:val="00EA5FFA"/>
    <w:rsid w:val="00EA6AA5"/>
    <w:rsid w:val="00EA7315"/>
    <w:rsid w:val="00EA7FA8"/>
    <w:rsid w:val="00EB0E7E"/>
    <w:rsid w:val="00EB2021"/>
    <w:rsid w:val="00EB245C"/>
    <w:rsid w:val="00EB31A9"/>
    <w:rsid w:val="00EB3989"/>
    <w:rsid w:val="00EB3E25"/>
    <w:rsid w:val="00EB415B"/>
    <w:rsid w:val="00EB4214"/>
    <w:rsid w:val="00EB48C9"/>
    <w:rsid w:val="00EB4977"/>
    <w:rsid w:val="00EB4E37"/>
    <w:rsid w:val="00EB4EC9"/>
    <w:rsid w:val="00EB6C5F"/>
    <w:rsid w:val="00EB6C7F"/>
    <w:rsid w:val="00EC0441"/>
    <w:rsid w:val="00EC0C0B"/>
    <w:rsid w:val="00EC0E02"/>
    <w:rsid w:val="00EC0F87"/>
    <w:rsid w:val="00EC235F"/>
    <w:rsid w:val="00EC2643"/>
    <w:rsid w:val="00EC2CC5"/>
    <w:rsid w:val="00EC4794"/>
    <w:rsid w:val="00EC6657"/>
    <w:rsid w:val="00EC6904"/>
    <w:rsid w:val="00EC7D40"/>
    <w:rsid w:val="00ED066B"/>
    <w:rsid w:val="00ED08DE"/>
    <w:rsid w:val="00ED0F43"/>
    <w:rsid w:val="00ED14AC"/>
    <w:rsid w:val="00ED18FD"/>
    <w:rsid w:val="00ED233C"/>
    <w:rsid w:val="00ED24FA"/>
    <w:rsid w:val="00ED26B8"/>
    <w:rsid w:val="00ED27AD"/>
    <w:rsid w:val="00ED2B0D"/>
    <w:rsid w:val="00ED2B67"/>
    <w:rsid w:val="00ED36E8"/>
    <w:rsid w:val="00ED479B"/>
    <w:rsid w:val="00ED479E"/>
    <w:rsid w:val="00ED576F"/>
    <w:rsid w:val="00ED647A"/>
    <w:rsid w:val="00ED7DD8"/>
    <w:rsid w:val="00EE0128"/>
    <w:rsid w:val="00EE049B"/>
    <w:rsid w:val="00EE04E2"/>
    <w:rsid w:val="00EE05B3"/>
    <w:rsid w:val="00EE0788"/>
    <w:rsid w:val="00EE09F8"/>
    <w:rsid w:val="00EE0BB0"/>
    <w:rsid w:val="00EE1FCF"/>
    <w:rsid w:val="00EE230B"/>
    <w:rsid w:val="00EE259A"/>
    <w:rsid w:val="00EE28D9"/>
    <w:rsid w:val="00EE2DF2"/>
    <w:rsid w:val="00EE30ED"/>
    <w:rsid w:val="00EE316E"/>
    <w:rsid w:val="00EE3961"/>
    <w:rsid w:val="00EE40C5"/>
    <w:rsid w:val="00EE41F9"/>
    <w:rsid w:val="00EE4626"/>
    <w:rsid w:val="00EE4703"/>
    <w:rsid w:val="00EE4C43"/>
    <w:rsid w:val="00EE60C4"/>
    <w:rsid w:val="00EE6C16"/>
    <w:rsid w:val="00EE7D4D"/>
    <w:rsid w:val="00EE7F93"/>
    <w:rsid w:val="00EF0084"/>
    <w:rsid w:val="00EF101A"/>
    <w:rsid w:val="00EF14FA"/>
    <w:rsid w:val="00EF1EF5"/>
    <w:rsid w:val="00EF2410"/>
    <w:rsid w:val="00EF2CC2"/>
    <w:rsid w:val="00EF3499"/>
    <w:rsid w:val="00EF47A8"/>
    <w:rsid w:val="00EF5515"/>
    <w:rsid w:val="00EF5F41"/>
    <w:rsid w:val="00EF6CC8"/>
    <w:rsid w:val="00EF78B2"/>
    <w:rsid w:val="00EF7E2B"/>
    <w:rsid w:val="00F00367"/>
    <w:rsid w:val="00F006CE"/>
    <w:rsid w:val="00F00DD2"/>
    <w:rsid w:val="00F01693"/>
    <w:rsid w:val="00F02841"/>
    <w:rsid w:val="00F02867"/>
    <w:rsid w:val="00F03049"/>
    <w:rsid w:val="00F04F55"/>
    <w:rsid w:val="00F05129"/>
    <w:rsid w:val="00F059AD"/>
    <w:rsid w:val="00F0665B"/>
    <w:rsid w:val="00F06B9D"/>
    <w:rsid w:val="00F06EF0"/>
    <w:rsid w:val="00F0720A"/>
    <w:rsid w:val="00F103CE"/>
    <w:rsid w:val="00F1083F"/>
    <w:rsid w:val="00F10EE2"/>
    <w:rsid w:val="00F11158"/>
    <w:rsid w:val="00F113D9"/>
    <w:rsid w:val="00F11D8D"/>
    <w:rsid w:val="00F120A1"/>
    <w:rsid w:val="00F12210"/>
    <w:rsid w:val="00F1266D"/>
    <w:rsid w:val="00F12968"/>
    <w:rsid w:val="00F1300F"/>
    <w:rsid w:val="00F136F0"/>
    <w:rsid w:val="00F137F1"/>
    <w:rsid w:val="00F140B4"/>
    <w:rsid w:val="00F14607"/>
    <w:rsid w:val="00F14774"/>
    <w:rsid w:val="00F15777"/>
    <w:rsid w:val="00F1712E"/>
    <w:rsid w:val="00F1743F"/>
    <w:rsid w:val="00F176F9"/>
    <w:rsid w:val="00F17B25"/>
    <w:rsid w:val="00F17B57"/>
    <w:rsid w:val="00F203B7"/>
    <w:rsid w:val="00F209D1"/>
    <w:rsid w:val="00F21345"/>
    <w:rsid w:val="00F21352"/>
    <w:rsid w:val="00F21A81"/>
    <w:rsid w:val="00F22CB2"/>
    <w:rsid w:val="00F22DC7"/>
    <w:rsid w:val="00F22E10"/>
    <w:rsid w:val="00F230FB"/>
    <w:rsid w:val="00F240DA"/>
    <w:rsid w:val="00F24218"/>
    <w:rsid w:val="00F24D46"/>
    <w:rsid w:val="00F25150"/>
    <w:rsid w:val="00F261FE"/>
    <w:rsid w:val="00F265B5"/>
    <w:rsid w:val="00F2663B"/>
    <w:rsid w:val="00F266AB"/>
    <w:rsid w:val="00F268F0"/>
    <w:rsid w:val="00F26ABA"/>
    <w:rsid w:val="00F27582"/>
    <w:rsid w:val="00F2783E"/>
    <w:rsid w:val="00F27B7E"/>
    <w:rsid w:val="00F30292"/>
    <w:rsid w:val="00F3061B"/>
    <w:rsid w:val="00F316A9"/>
    <w:rsid w:val="00F31BCE"/>
    <w:rsid w:val="00F32187"/>
    <w:rsid w:val="00F3341E"/>
    <w:rsid w:val="00F340D3"/>
    <w:rsid w:val="00F34484"/>
    <w:rsid w:val="00F34FB7"/>
    <w:rsid w:val="00F35324"/>
    <w:rsid w:val="00F35635"/>
    <w:rsid w:val="00F35817"/>
    <w:rsid w:val="00F36152"/>
    <w:rsid w:val="00F36470"/>
    <w:rsid w:val="00F375EA"/>
    <w:rsid w:val="00F40542"/>
    <w:rsid w:val="00F407E6"/>
    <w:rsid w:val="00F408E7"/>
    <w:rsid w:val="00F40BEE"/>
    <w:rsid w:val="00F40CAC"/>
    <w:rsid w:val="00F40D13"/>
    <w:rsid w:val="00F40FB9"/>
    <w:rsid w:val="00F42030"/>
    <w:rsid w:val="00F4233A"/>
    <w:rsid w:val="00F42A7B"/>
    <w:rsid w:val="00F42D25"/>
    <w:rsid w:val="00F433E2"/>
    <w:rsid w:val="00F43518"/>
    <w:rsid w:val="00F435C2"/>
    <w:rsid w:val="00F43CC0"/>
    <w:rsid w:val="00F4455A"/>
    <w:rsid w:val="00F44789"/>
    <w:rsid w:val="00F45049"/>
    <w:rsid w:val="00F45BFB"/>
    <w:rsid w:val="00F466D9"/>
    <w:rsid w:val="00F46E31"/>
    <w:rsid w:val="00F46EB6"/>
    <w:rsid w:val="00F477F5"/>
    <w:rsid w:val="00F47A0B"/>
    <w:rsid w:val="00F505D8"/>
    <w:rsid w:val="00F50BE2"/>
    <w:rsid w:val="00F50C4F"/>
    <w:rsid w:val="00F50CC5"/>
    <w:rsid w:val="00F524B3"/>
    <w:rsid w:val="00F52B5A"/>
    <w:rsid w:val="00F53383"/>
    <w:rsid w:val="00F534CF"/>
    <w:rsid w:val="00F54504"/>
    <w:rsid w:val="00F54A9F"/>
    <w:rsid w:val="00F55B13"/>
    <w:rsid w:val="00F55C9C"/>
    <w:rsid w:val="00F55FCE"/>
    <w:rsid w:val="00F56341"/>
    <w:rsid w:val="00F56740"/>
    <w:rsid w:val="00F56F37"/>
    <w:rsid w:val="00F57077"/>
    <w:rsid w:val="00F60056"/>
    <w:rsid w:val="00F6032B"/>
    <w:rsid w:val="00F60D5F"/>
    <w:rsid w:val="00F611CA"/>
    <w:rsid w:val="00F61980"/>
    <w:rsid w:val="00F61A34"/>
    <w:rsid w:val="00F61C3D"/>
    <w:rsid w:val="00F62AF1"/>
    <w:rsid w:val="00F62E2F"/>
    <w:rsid w:val="00F645ED"/>
    <w:rsid w:val="00F64F98"/>
    <w:rsid w:val="00F6536A"/>
    <w:rsid w:val="00F6565C"/>
    <w:rsid w:val="00F6591D"/>
    <w:rsid w:val="00F65AAF"/>
    <w:rsid w:val="00F65E86"/>
    <w:rsid w:val="00F66F97"/>
    <w:rsid w:val="00F70271"/>
    <w:rsid w:val="00F704C7"/>
    <w:rsid w:val="00F70CD0"/>
    <w:rsid w:val="00F711AC"/>
    <w:rsid w:val="00F71318"/>
    <w:rsid w:val="00F7190B"/>
    <w:rsid w:val="00F722FF"/>
    <w:rsid w:val="00F7261C"/>
    <w:rsid w:val="00F73AE9"/>
    <w:rsid w:val="00F73F5E"/>
    <w:rsid w:val="00F747FA"/>
    <w:rsid w:val="00F74C7E"/>
    <w:rsid w:val="00F74F8F"/>
    <w:rsid w:val="00F750DC"/>
    <w:rsid w:val="00F75AB9"/>
    <w:rsid w:val="00F769C6"/>
    <w:rsid w:val="00F771AA"/>
    <w:rsid w:val="00F772E9"/>
    <w:rsid w:val="00F77C52"/>
    <w:rsid w:val="00F8025C"/>
    <w:rsid w:val="00F80C4F"/>
    <w:rsid w:val="00F81D86"/>
    <w:rsid w:val="00F81EB6"/>
    <w:rsid w:val="00F827DD"/>
    <w:rsid w:val="00F82F6D"/>
    <w:rsid w:val="00F83370"/>
    <w:rsid w:val="00F83E52"/>
    <w:rsid w:val="00F83EC7"/>
    <w:rsid w:val="00F84048"/>
    <w:rsid w:val="00F844FB"/>
    <w:rsid w:val="00F84BDD"/>
    <w:rsid w:val="00F8504A"/>
    <w:rsid w:val="00F852BE"/>
    <w:rsid w:val="00F85603"/>
    <w:rsid w:val="00F85ABB"/>
    <w:rsid w:val="00F85B23"/>
    <w:rsid w:val="00F85C40"/>
    <w:rsid w:val="00F85F8A"/>
    <w:rsid w:val="00F866A9"/>
    <w:rsid w:val="00F86B22"/>
    <w:rsid w:val="00F86B3E"/>
    <w:rsid w:val="00F87A6C"/>
    <w:rsid w:val="00F87C9D"/>
    <w:rsid w:val="00F90219"/>
    <w:rsid w:val="00F90B2D"/>
    <w:rsid w:val="00F90DD6"/>
    <w:rsid w:val="00F91514"/>
    <w:rsid w:val="00F92443"/>
    <w:rsid w:val="00F9272F"/>
    <w:rsid w:val="00F92E44"/>
    <w:rsid w:val="00F9351C"/>
    <w:rsid w:val="00F937D6"/>
    <w:rsid w:val="00F93936"/>
    <w:rsid w:val="00F93CDE"/>
    <w:rsid w:val="00F95560"/>
    <w:rsid w:val="00F9563F"/>
    <w:rsid w:val="00F956D1"/>
    <w:rsid w:val="00F95706"/>
    <w:rsid w:val="00F95996"/>
    <w:rsid w:val="00F9638A"/>
    <w:rsid w:val="00F97B80"/>
    <w:rsid w:val="00F97D6D"/>
    <w:rsid w:val="00FA09FF"/>
    <w:rsid w:val="00FA0AB0"/>
    <w:rsid w:val="00FA0B18"/>
    <w:rsid w:val="00FA0E76"/>
    <w:rsid w:val="00FA1995"/>
    <w:rsid w:val="00FA1DED"/>
    <w:rsid w:val="00FA1EA7"/>
    <w:rsid w:val="00FA26AF"/>
    <w:rsid w:val="00FA28BE"/>
    <w:rsid w:val="00FA28FC"/>
    <w:rsid w:val="00FA2B50"/>
    <w:rsid w:val="00FA338E"/>
    <w:rsid w:val="00FA37BB"/>
    <w:rsid w:val="00FA3863"/>
    <w:rsid w:val="00FA3CEF"/>
    <w:rsid w:val="00FA3D14"/>
    <w:rsid w:val="00FA4322"/>
    <w:rsid w:val="00FA4B4D"/>
    <w:rsid w:val="00FA5194"/>
    <w:rsid w:val="00FA5E75"/>
    <w:rsid w:val="00FA6625"/>
    <w:rsid w:val="00FB00B1"/>
    <w:rsid w:val="00FB0724"/>
    <w:rsid w:val="00FB185C"/>
    <w:rsid w:val="00FB1864"/>
    <w:rsid w:val="00FB1C44"/>
    <w:rsid w:val="00FB24D7"/>
    <w:rsid w:val="00FB2867"/>
    <w:rsid w:val="00FB3AFB"/>
    <w:rsid w:val="00FB3C8F"/>
    <w:rsid w:val="00FB4749"/>
    <w:rsid w:val="00FB4B47"/>
    <w:rsid w:val="00FB4E0A"/>
    <w:rsid w:val="00FB4E2C"/>
    <w:rsid w:val="00FB5230"/>
    <w:rsid w:val="00FB53E4"/>
    <w:rsid w:val="00FB6457"/>
    <w:rsid w:val="00FB6953"/>
    <w:rsid w:val="00FB749F"/>
    <w:rsid w:val="00FB7DC8"/>
    <w:rsid w:val="00FC2770"/>
    <w:rsid w:val="00FC2A4B"/>
    <w:rsid w:val="00FC3F26"/>
    <w:rsid w:val="00FC50B4"/>
    <w:rsid w:val="00FC5449"/>
    <w:rsid w:val="00FC5D0A"/>
    <w:rsid w:val="00FC64D9"/>
    <w:rsid w:val="00FC660E"/>
    <w:rsid w:val="00FC6EF1"/>
    <w:rsid w:val="00FC7778"/>
    <w:rsid w:val="00FC782A"/>
    <w:rsid w:val="00FD05E4"/>
    <w:rsid w:val="00FD0AC3"/>
    <w:rsid w:val="00FD1468"/>
    <w:rsid w:val="00FD1B64"/>
    <w:rsid w:val="00FD1D46"/>
    <w:rsid w:val="00FD1D8F"/>
    <w:rsid w:val="00FD20F1"/>
    <w:rsid w:val="00FD2337"/>
    <w:rsid w:val="00FD26F3"/>
    <w:rsid w:val="00FD3396"/>
    <w:rsid w:val="00FD4ACE"/>
    <w:rsid w:val="00FD4BF5"/>
    <w:rsid w:val="00FD4D8F"/>
    <w:rsid w:val="00FD527C"/>
    <w:rsid w:val="00FD52EA"/>
    <w:rsid w:val="00FD5867"/>
    <w:rsid w:val="00FD6571"/>
    <w:rsid w:val="00FD6576"/>
    <w:rsid w:val="00FD7679"/>
    <w:rsid w:val="00FD7A0D"/>
    <w:rsid w:val="00FD7FF5"/>
    <w:rsid w:val="00FE0075"/>
    <w:rsid w:val="00FE01FD"/>
    <w:rsid w:val="00FE0653"/>
    <w:rsid w:val="00FE1034"/>
    <w:rsid w:val="00FE16FB"/>
    <w:rsid w:val="00FE190C"/>
    <w:rsid w:val="00FE1BF0"/>
    <w:rsid w:val="00FE1C52"/>
    <w:rsid w:val="00FE2520"/>
    <w:rsid w:val="00FE257D"/>
    <w:rsid w:val="00FE2C99"/>
    <w:rsid w:val="00FE332B"/>
    <w:rsid w:val="00FE39E7"/>
    <w:rsid w:val="00FE3ECC"/>
    <w:rsid w:val="00FE4C1C"/>
    <w:rsid w:val="00FE4C1D"/>
    <w:rsid w:val="00FE567F"/>
    <w:rsid w:val="00FE5775"/>
    <w:rsid w:val="00FE591A"/>
    <w:rsid w:val="00FE6058"/>
    <w:rsid w:val="00FE6A7B"/>
    <w:rsid w:val="00FE70C2"/>
    <w:rsid w:val="00FE71DC"/>
    <w:rsid w:val="00FF0ABC"/>
    <w:rsid w:val="00FF0B63"/>
    <w:rsid w:val="00FF24C5"/>
    <w:rsid w:val="00FF3946"/>
    <w:rsid w:val="00FF44A7"/>
    <w:rsid w:val="00FF4725"/>
    <w:rsid w:val="00FF4AAA"/>
    <w:rsid w:val="00FF4E1F"/>
    <w:rsid w:val="00FF4EF6"/>
    <w:rsid w:val="00FF5E32"/>
    <w:rsid w:val="00FF61A1"/>
    <w:rsid w:val="00FF6941"/>
    <w:rsid w:val="00FF6BA1"/>
    <w:rsid w:val="00FF74E8"/>
    <w:rsid w:val="00FF79EF"/>
    <w:rsid w:val="00FF7C3F"/>
    <w:rsid w:val="00FF7F1E"/>
    <w:rsid w:val="00FF7F2C"/>
    <w:rsid w:val="7293F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7D1A6"/>
  <w15:docId w15:val="{915A250E-1BEE-4E88-B860-FEC24A00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5FCC"/>
    <w:pPr>
      <w:widowControl w:val="0"/>
      <w:autoSpaceDE w:val="0"/>
      <w:autoSpaceDN w:val="0"/>
      <w:spacing w:after="240" w:line="240" w:lineRule="atLeast"/>
    </w:pPr>
    <w:rPr>
      <w:rFonts w:eastAsia="Verdana" w:cs="Verdana"/>
      <w:sz w:val="22"/>
      <w:szCs w:val="22"/>
    </w:rPr>
  </w:style>
  <w:style w:type="paragraph" w:styleId="Heading1">
    <w:name w:val="heading 1"/>
    <w:basedOn w:val="Normal"/>
    <w:link w:val="Heading1Char"/>
    <w:uiPriority w:val="1"/>
    <w:qFormat/>
    <w:rsid w:val="00CB311A"/>
    <w:pPr>
      <w:ind w:left="120"/>
      <w:outlineLvl w:val="0"/>
    </w:pPr>
    <w:rPr>
      <w:b/>
      <w:bCs/>
      <w:sz w:val="36"/>
      <w:szCs w:val="36"/>
    </w:rPr>
  </w:style>
  <w:style w:type="paragraph" w:styleId="Heading2">
    <w:name w:val="heading 2"/>
    <w:basedOn w:val="Normal"/>
    <w:link w:val="Heading2Char"/>
    <w:uiPriority w:val="1"/>
    <w:qFormat/>
    <w:rsid w:val="00CB311A"/>
    <w:pPr>
      <w:ind w:left="100"/>
      <w:outlineLvl w:val="1"/>
    </w:pPr>
    <w:rPr>
      <w:sz w:val="32"/>
      <w:szCs w:val="32"/>
    </w:rPr>
  </w:style>
  <w:style w:type="paragraph" w:styleId="Heading3">
    <w:name w:val="heading 3"/>
    <w:basedOn w:val="Normal"/>
    <w:link w:val="Heading3Char"/>
    <w:uiPriority w:val="1"/>
    <w:qFormat/>
    <w:rsid w:val="00CB311A"/>
    <w:pPr>
      <w:ind w:left="120"/>
      <w:outlineLvl w:val="2"/>
    </w:pPr>
    <w:rPr>
      <w:b/>
      <w:bCs/>
      <w:szCs w:val="18"/>
    </w:rPr>
  </w:style>
  <w:style w:type="paragraph" w:styleId="Heading4">
    <w:name w:val="heading 4"/>
    <w:basedOn w:val="Normal"/>
    <w:next w:val="Normal"/>
    <w:link w:val="Heading4Char"/>
    <w:uiPriority w:val="9"/>
    <w:semiHidden/>
    <w:unhideWhenUsed/>
    <w:qFormat/>
    <w:rsid w:val="00CB311A"/>
    <w:pPr>
      <w:keepNext/>
      <w:keepLines/>
      <w:spacing w:before="40"/>
      <w:outlineLvl w:val="3"/>
    </w:pPr>
    <w:rPr>
      <w:rFonts w:asciiTheme="majorHAnsi" w:eastAsiaTheme="majorEastAsia" w:hAnsiTheme="majorHAnsi" w:cstheme="majorBidi"/>
      <w:i/>
      <w:iCs/>
      <w:color w:val="638C1B" w:themeColor="accent1" w:themeShade="BF"/>
    </w:rPr>
  </w:style>
  <w:style w:type="paragraph" w:styleId="Heading5">
    <w:name w:val="heading 5"/>
    <w:basedOn w:val="Normal"/>
    <w:next w:val="Normal"/>
    <w:link w:val="Heading5Char"/>
    <w:uiPriority w:val="9"/>
    <w:semiHidden/>
    <w:unhideWhenUsed/>
    <w:qFormat/>
    <w:rsid w:val="00CB311A"/>
    <w:pPr>
      <w:keepNext/>
      <w:keepLines/>
      <w:spacing w:before="40"/>
      <w:outlineLvl w:val="4"/>
    </w:pPr>
    <w:rPr>
      <w:rFonts w:asciiTheme="majorHAnsi" w:eastAsiaTheme="majorEastAsia" w:hAnsiTheme="majorHAnsi" w:cstheme="majorBidi"/>
      <w:color w:val="638C1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B3AB8"/>
    <w:pPr>
      <w:spacing w:before="120" w:after="120" w:line="200" w:lineRule="atLeast"/>
      <w:ind w:left="360" w:hanging="360"/>
    </w:pPr>
    <w:rPr>
      <w:sz w:val="16"/>
      <w:szCs w:val="20"/>
      <w:lang w:val="x-none" w:eastAsia="x-none"/>
    </w:rPr>
  </w:style>
  <w:style w:type="character" w:customStyle="1" w:styleId="FootnoteTextChar">
    <w:name w:val="Footnote Text Char"/>
    <w:link w:val="FootnoteText"/>
    <w:uiPriority w:val="99"/>
    <w:rsid w:val="005B3AB8"/>
    <w:rPr>
      <w:rFonts w:eastAsia="Verdana" w:cs="Verdana"/>
      <w:sz w:val="16"/>
      <w:lang w:val="x-none" w:eastAsia="x-none"/>
    </w:rPr>
  </w:style>
  <w:style w:type="character" w:styleId="FootnoteReference">
    <w:name w:val="footnote reference"/>
    <w:rsid w:val="00C612CD"/>
    <w:rPr>
      <w:vertAlign w:val="superscript"/>
    </w:rPr>
  </w:style>
  <w:style w:type="character" w:customStyle="1" w:styleId="documentlip1">
    <w:name w:val="document_li_p1"/>
    <w:basedOn w:val="pdocumentul1"/>
    <w:rsid w:val="0000482D"/>
    <w:rPr>
      <w:rFonts w:ascii="Calibri" w:hAnsi="Calibri" w:cs="Arial"/>
      <w:color w:val="000000" w:themeColor="text1"/>
      <w:sz w:val="22"/>
      <w:szCs w:val="18"/>
    </w:rPr>
  </w:style>
  <w:style w:type="character" w:customStyle="1" w:styleId="pdocumentul1">
    <w:name w:val="p_document_ul1"/>
    <w:basedOn w:val="DefaultParagraphFont"/>
    <w:rsid w:val="00765FCC"/>
    <w:rPr>
      <w:color w:val="000000" w:themeColor="text1"/>
    </w:rPr>
  </w:style>
  <w:style w:type="character" w:styleId="CommentReference">
    <w:name w:val="annotation reference"/>
    <w:basedOn w:val="DefaultParagraphFont"/>
    <w:uiPriority w:val="99"/>
    <w:semiHidden/>
    <w:unhideWhenUsed/>
    <w:rsid w:val="00CB311A"/>
    <w:rPr>
      <w:sz w:val="16"/>
      <w:szCs w:val="16"/>
    </w:rPr>
  </w:style>
  <w:style w:type="paragraph" w:styleId="CommentText">
    <w:name w:val="annotation text"/>
    <w:basedOn w:val="Normal"/>
    <w:link w:val="CommentTextChar"/>
    <w:uiPriority w:val="99"/>
    <w:unhideWhenUsed/>
    <w:rsid w:val="00CB311A"/>
    <w:rPr>
      <w:sz w:val="20"/>
      <w:szCs w:val="20"/>
    </w:rPr>
  </w:style>
  <w:style w:type="character" w:customStyle="1" w:styleId="CommentTextChar">
    <w:name w:val="Comment Text Char"/>
    <w:basedOn w:val="DefaultParagraphFont"/>
    <w:link w:val="CommentText"/>
    <w:uiPriority w:val="99"/>
    <w:rsid w:val="00CB311A"/>
    <w:rPr>
      <w:rFonts w:ascii="Verdana" w:eastAsia="Verdana" w:hAnsi="Verdana" w:cs="Verdana"/>
    </w:rPr>
  </w:style>
  <w:style w:type="paragraph" w:styleId="CommentSubject">
    <w:name w:val="annotation subject"/>
    <w:basedOn w:val="CommentText"/>
    <w:next w:val="CommentText"/>
    <w:link w:val="CommentSubjectChar"/>
    <w:uiPriority w:val="99"/>
    <w:semiHidden/>
    <w:unhideWhenUsed/>
    <w:rsid w:val="00CB311A"/>
    <w:rPr>
      <w:b/>
      <w:bCs/>
    </w:rPr>
  </w:style>
  <w:style w:type="character" w:customStyle="1" w:styleId="CommentSubjectChar">
    <w:name w:val="Comment Subject Char"/>
    <w:basedOn w:val="CommentTextChar"/>
    <w:link w:val="CommentSubject"/>
    <w:uiPriority w:val="99"/>
    <w:semiHidden/>
    <w:rsid w:val="00CB311A"/>
    <w:rPr>
      <w:rFonts w:ascii="Verdana" w:eastAsia="Verdana" w:hAnsi="Verdana" w:cs="Verdana"/>
      <w:b/>
      <w:bCs/>
    </w:rPr>
  </w:style>
  <w:style w:type="paragraph" w:styleId="BalloonText">
    <w:name w:val="Balloon Text"/>
    <w:basedOn w:val="Normal"/>
    <w:link w:val="BalloonTextChar"/>
    <w:uiPriority w:val="99"/>
    <w:semiHidden/>
    <w:unhideWhenUsed/>
    <w:rsid w:val="00CB311A"/>
    <w:rPr>
      <w:rFonts w:ascii="Segoe UI" w:hAnsi="Segoe UI" w:cs="Segoe UI"/>
      <w:szCs w:val="18"/>
    </w:rPr>
  </w:style>
  <w:style w:type="character" w:customStyle="1" w:styleId="BalloonTextChar">
    <w:name w:val="Balloon Text Char"/>
    <w:basedOn w:val="DefaultParagraphFont"/>
    <w:link w:val="BalloonText"/>
    <w:uiPriority w:val="99"/>
    <w:semiHidden/>
    <w:rsid w:val="00CB311A"/>
    <w:rPr>
      <w:rFonts w:ascii="Segoe UI" w:eastAsia="Verdana" w:hAnsi="Segoe UI" w:cs="Segoe UI"/>
      <w:sz w:val="18"/>
      <w:szCs w:val="18"/>
    </w:rPr>
  </w:style>
  <w:style w:type="paragraph" w:styleId="ListParagraph">
    <w:name w:val="List Paragraph"/>
    <w:basedOn w:val="Normal"/>
    <w:uiPriority w:val="34"/>
    <w:qFormat/>
    <w:rsid w:val="005B6B38"/>
    <w:pPr>
      <w:numPr>
        <w:numId w:val="11"/>
      </w:numPr>
      <w:contextualSpacing/>
    </w:pPr>
    <w:rPr>
      <w:rFonts w:ascii="Calibri Light" w:hAnsi="Calibri Light" w:cs="Calibri Light"/>
    </w:rPr>
  </w:style>
  <w:style w:type="paragraph" w:styleId="NormalWeb">
    <w:name w:val="Normal (Web)"/>
    <w:basedOn w:val="Normal"/>
    <w:uiPriority w:val="99"/>
    <w:rsid w:val="00A50EA1"/>
    <w:pPr>
      <w:spacing w:before="100" w:beforeAutospacing="1" w:after="100" w:afterAutospacing="1"/>
    </w:pPr>
    <w:rPr>
      <w:rFonts w:ascii="Arial Unicode MS" w:eastAsia="Arial Unicode MS" w:hAnsi="Arial Unicode MS" w:cs="Arial Unicode MS"/>
    </w:rPr>
  </w:style>
  <w:style w:type="paragraph" w:styleId="Revision">
    <w:name w:val="Revision"/>
    <w:hidden/>
    <w:uiPriority w:val="99"/>
    <w:semiHidden/>
    <w:rsid w:val="006578CB"/>
    <w:rPr>
      <w:rFonts w:ascii="Times New Roman" w:eastAsia="Times New Roman" w:hAnsi="Times New Roman"/>
      <w:color w:val="000000"/>
      <w:sz w:val="24"/>
      <w:szCs w:val="24"/>
    </w:rPr>
  </w:style>
  <w:style w:type="paragraph" w:styleId="Header">
    <w:name w:val="header"/>
    <w:basedOn w:val="Normal"/>
    <w:link w:val="HeaderChar"/>
    <w:uiPriority w:val="99"/>
    <w:unhideWhenUsed/>
    <w:rsid w:val="00CB311A"/>
    <w:pPr>
      <w:tabs>
        <w:tab w:val="center" w:pos="4680"/>
        <w:tab w:val="right" w:pos="9360"/>
      </w:tabs>
    </w:pPr>
  </w:style>
  <w:style w:type="character" w:customStyle="1" w:styleId="HeaderChar">
    <w:name w:val="Header Char"/>
    <w:basedOn w:val="DefaultParagraphFont"/>
    <w:link w:val="Header"/>
    <w:uiPriority w:val="99"/>
    <w:rsid w:val="00CB311A"/>
    <w:rPr>
      <w:rFonts w:ascii="Verdana" w:eastAsia="Verdana" w:hAnsi="Verdana" w:cs="Verdana"/>
      <w:sz w:val="22"/>
      <w:szCs w:val="22"/>
    </w:rPr>
  </w:style>
  <w:style w:type="paragraph" w:styleId="Footer">
    <w:name w:val="footer"/>
    <w:basedOn w:val="Normal"/>
    <w:link w:val="FooterChar"/>
    <w:uiPriority w:val="99"/>
    <w:unhideWhenUsed/>
    <w:rsid w:val="00CB311A"/>
    <w:pPr>
      <w:tabs>
        <w:tab w:val="center" w:pos="4680"/>
        <w:tab w:val="right" w:pos="9360"/>
      </w:tabs>
    </w:pPr>
  </w:style>
  <w:style w:type="character" w:customStyle="1" w:styleId="FooterChar">
    <w:name w:val="Footer Char"/>
    <w:basedOn w:val="DefaultParagraphFont"/>
    <w:link w:val="Footer"/>
    <w:uiPriority w:val="99"/>
    <w:rsid w:val="00CB311A"/>
    <w:rPr>
      <w:rFonts w:ascii="Verdana" w:eastAsia="Verdana" w:hAnsi="Verdana" w:cs="Verdana"/>
      <w:sz w:val="22"/>
      <w:szCs w:val="22"/>
    </w:rPr>
  </w:style>
  <w:style w:type="character" w:styleId="Hyperlink">
    <w:name w:val="Hyperlink"/>
    <w:aliases w:val="Deloitte Hyperlink"/>
    <w:uiPriority w:val="99"/>
    <w:unhideWhenUsed/>
    <w:qFormat/>
    <w:rsid w:val="00765FCC"/>
    <w:rPr>
      <w:rFonts w:ascii="Calibri" w:eastAsiaTheme="minorHAnsi" w:hAnsi="Calibri" w:cs="Arial"/>
      <w:color w:val="62B5E5"/>
      <w:u w:val="single"/>
    </w:rPr>
  </w:style>
  <w:style w:type="paragraph" w:customStyle="1" w:styleId="Pa18">
    <w:name w:val="Pa18"/>
    <w:basedOn w:val="Normal"/>
    <w:uiPriority w:val="99"/>
    <w:rsid w:val="000D3BD1"/>
    <w:pPr>
      <w:spacing w:line="141" w:lineRule="atLeast"/>
    </w:pPr>
    <w:rPr>
      <w:rFonts w:ascii="Frutiger Next Pro Light" w:eastAsia="Calibri" w:hAnsi="Frutiger Next Pro Light"/>
    </w:rPr>
  </w:style>
  <w:style w:type="character" w:styleId="FollowedHyperlink">
    <w:name w:val="FollowedHyperlink"/>
    <w:uiPriority w:val="99"/>
    <w:semiHidden/>
    <w:unhideWhenUsed/>
    <w:rsid w:val="00765FCC"/>
    <w:rPr>
      <w:rFonts w:ascii="Calibri" w:hAnsi="Calibri"/>
      <w:color w:val="75787B" w:themeColor="accent6"/>
      <w:u w:val="single"/>
    </w:rPr>
  </w:style>
  <w:style w:type="table" w:styleId="TableGrid">
    <w:name w:val="Table Grid"/>
    <w:basedOn w:val="TableNormal"/>
    <w:uiPriority w:val="59"/>
    <w:rsid w:val="00EE25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06B"/>
    <w:pPr>
      <w:autoSpaceDE w:val="0"/>
      <w:autoSpaceDN w:val="0"/>
      <w:adjustRightInd w:val="0"/>
    </w:pPr>
    <w:rPr>
      <w:rFonts w:ascii="Arial" w:eastAsia="Times New Roman" w:hAnsi="Arial" w:cs="Arial"/>
      <w:color w:val="000000"/>
      <w:sz w:val="24"/>
      <w:szCs w:val="24"/>
    </w:rPr>
  </w:style>
  <w:style w:type="paragraph" w:customStyle="1" w:styleId="olli">
    <w:name w:val="ol_li"/>
    <w:basedOn w:val="Normal"/>
    <w:rsid w:val="00883A7B"/>
    <w:pPr>
      <w:spacing w:before="240"/>
      <w:ind w:left="600"/>
    </w:pPr>
    <w:rPr>
      <w:rFonts w:ascii="Arial" w:hAnsi="Arial" w:cs="Arial"/>
      <w:sz w:val="20"/>
      <w:szCs w:val="20"/>
    </w:rPr>
  </w:style>
  <w:style w:type="paragraph" w:styleId="NoSpacing">
    <w:name w:val="No Spacing"/>
    <w:uiPriority w:val="1"/>
    <w:qFormat/>
    <w:rsid w:val="008C7279"/>
    <w:rPr>
      <w:rFonts w:eastAsia="Times New Roman"/>
      <w:sz w:val="22"/>
      <w:szCs w:val="22"/>
    </w:rPr>
  </w:style>
  <w:style w:type="character" w:customStyle="1" w:styleId="u1">
    <w:name w:val="u1"/>
    <w:rsid w:val="00501584"/>
    <w:rPr>
      <w:u w:val="single"/>
    </w:rPr>
  </w:style>
  <w:style w:type="paragraph" w:customStyle="1" w:styleId="tabletext">
    <w:name w:val="tabletext"/>
    <w:basedOn w:val="Normal"/>
    <w:rsid w:val="00EC235F"/>
    <w:pPr>
      <w:spacing w:before="100" w:beforeAutospacing="1" w:after="100" w:afterAutospacing="1"/>
    </w:pPr>
    <w:rPr>
      <w:rFonts w:ascii="Arial" w:hAnsi="Arial" w:cs="Arial"/>
      <w:szCs w:val="18"/>
    </w:rPr>
  </w:style>
  <w:style w:type="paragraph" w:customStyle="1" w:styleId="xref-3rdparty">
    <w:name w:val="xref-3rdparty"/>
    <w:basedOn w:val="Normal"/>
    <w:rsid w:val="00B70012"/>
    <w:pPr>
      <w:spacing w:before="240"/>
      <w:ind w:left="240"/>
    </w:pPr>
    <w:rPr>
      <w:rFonts w:ascii="Arial" w:hAnsi="Arial" w:cs="Arial"/>
      <w:color w:val="000080"/>
      <w:sz w:val="29"/>
      <w:szCs w:val="29"/>
      <w:u w:val="single"/>
    </w:rPr>
  </w:style>
  <w:style w:type="paragraph" w:styleId="PlainText">
    <w:name w:val="Plain Text"/>
    <w:basedOn w:val="Normal"/>
    <w:link w:val="PlainTextChar"/>
    <w:uiPriority w:val="99"/>
    <w:semiHidden/>
    <w:unhideWhenUsed/>
    <w:rsid w:val="00D87726"/>
    <w:rPr>
      <w:rFonts w:eastAsiaTheme="minorHAnsi"/>
    </w:rPr>
  </w:style>
  <w:style w:type="character" w:customStyle="1" w:styleId="PlainTextChar">
    <w:name w:val="Plain Text Char"/>
    <w:basedOn w:val="DefaultParagraphFont"/>
    <w:link w:val="PlainText"/>
    <w:uiPriority w:val="99"/>
    <w:semiHidden/>
    <w:rsid w:val="00D87726"/>
    <w:rPr>
      <w:rFonts w:eastAsiaTheme="minorHAnsi"/>
      <w:sz w:val="22"/>
      <w:szCs w:val="22"/>
    </w:rPr>
  </w:style>
  <w:style w:type="character" w:styleId="Emphasis">
    <w:name w:val="Emphasis"/>
    <w:basedOn w:val="DefaultParagraphFont"/>
    <w:uiPriority w:val="20"/>
    <w:qFormat/>
    <w:rsid w:val="004D1756"/>
    <w:rPr>
      <w:i/>
      <w:iCs/>
    </w:rPr>
  </w:style>
  <w:style w:type="paragraph" w:styleId="BodyText">
    <w:name w:val="Body Text"/>
    <w:basedOn w:val="Normal"/>
    <w:link w:val="BodyTextChar"/>
    <w:uiPriority w:val="99"/>
    <w:semiHidden/>
    <w:unhideWhenUsed/>
    <w:rsid w:val="00F24D46"/>
    <w:pPr>
      <w:spacing w:after="120"/>
    </w:pPr>
    <w:rPr>
      <w:rFonts w:eastAsiaTheme="minorEastAsia"/>
    </w:rPr>
  </w:style>
  <w:style w:type="character" w:customStyle="1" w:styleId="BodyTextChar">
    <w:name w:val="Body Text Char"/>
    <w:basedOn w:val="DefaultParagraphFont"/>
    <w:link w:val="BodyText"/>
    <w:uiPriority w:val="99"/>
    <w:semiHidden/>
    <w:rsid w:val="00F24D46"/>
    <w:rPr>
      <w:rFonts w:ascii="Times New Roman" w:eastAsiaTheme="minorEastAsia" w:hAnsi="Times New Roman"/>
      <w:sz w:val="24"/>
      <w:szCs w:val="24"/>
    </w:rPr>
  </w:style>
  <w:style w:type="paragraph" w:customStyle="1" w:styleId="Legaltext">
    <w:name w:val="Legal text"/>
    <w:basedOn w:val="Normal"/>
    <w:qFormat/>
    <w:rsid w:val="00E668C3"/>
    <w:pPr>
      <w:spacing w:line="180" w:lineRule="atLeast"/>
      <w:ind w:right="5387"/>
    </w:pPr>
    <w:rPr>
      <w:rFonts w:asciiTheme="minorHAnsi" w:eastAsiaTheme="minorHAnsi" w:hAnsiTheme="minorHAnsi" w:cstheme="minorBidi"/>
      <w:sz w:val="14"/>
      <w:lang w:val="en-GB"/>
    </w:rPr>
  </w:style>
  <w:style w:type="paragraph" w:customStyle="1" w:styleId="Paneltitle">
    <w:name w:val="Panel title"/>
    <w:basedOn w:val="Normal"/>
    <w:next w:val="Normal"/>
    <w:qFormat/>
    <w:rsid w:val="000E7C6E"/>
    <w:pPr>
      <w:spacing w:line="360" w:lineRule="atLeast"/>
    </w:pPr>
    <w:rPr>
      <w:b/>
      <w:color w:val="FFFFFF"/>
      <w:sz w:val="28"/>
    </w:rPr>
  </w:style>
  <w:style w:type="paragraph" w:customStyle="1" w:styleId="DBOLDLINK">
    <w:name w:val="D_BOLD_LINK"/>
    <w:basedOn w:val="Normal"/>
    <w:rsid w:val="0039690E"/>
    <w:pPr>
      <w:spacing w:before="240"/>
    </w:pPr>
    <w:rPr>
      <w:b/>
      <w:color w:val="00A3E0"/>
      <w:szCs w:val="18"/>
    </w:rPr>
  </w:style>
  <w:style w:type="paragraph" w:customStyle="1" w:styleId="PAH1">
    <w:name w:val="PA H1"/>
    <w:basedOn w:val="Normal"/>
    <w:uiPriority w:val="1"/>
    <w:qFormat/>
    <w:rsid w:val="00E44BAC"/>
    <w:pPr>
      <w:keepNext/>
      <w:autoSpaceDE/>
      <w:autoSpaceDN/>
      <w:spacing w:before="240"/>
      <w:outlineLvl w:val="0"/>
    </w:pPr>
    <w:rPr>
      <w:rFonts w:eastAsiaTheme="minorHAnsi" w:cstheme="minorBidi"/>
      <w:sz w:val="32"/>
    </w:rPr>
  </w:style>
  <w:style w:type="paragraph" w:customStyle="1" w:styleId="DeloitteHeaderFooter">
    <w:name w:val="Deloitte_Header_Footer"/>
    <w:basedOn w:val="Normal"/>
    <w:link w:val="DeloitteHeaderFooterChar"/>
    <w:qFormat/>
    <w:rsid w:val="00CB311A"/>
    <w:pPr>
      <w:widowControl/>
      <w:tabs>
        <w:tab w:val="center" w:pos="4680"/>
        <w:tab w:val="right" w:pos="9360"/>
      </w:tabs>
      <w:autoSpaceDE/>
      <w:autoSpaceDN/>
      <w:spacing w:before="120" w:after="120"/>
    </w:pPr>
    <w:rPr>
      <w:rFonts w:eastAsia="Times New Roman" w:cstheme="minorBidi"/>
      <w:noProof/>
      <w:sz w:val="16"/>
    </w:rPr>
  </w:style>
  <w:style w:type="character" w:customStyle="1" w:styleId="DeloitteHeaderFooterChar">
    <w:name w:val="Deloitte_Header_Footer Char"/>
    <w:basedOn w:val="DefaultParagraphFont"/>
    <w:link w:val="DeloitteHeaderFooter"/>
    <w:rsid w:val="00CB311A"/>
    <w:rPr>
      <w:rFonts w:ascii="Verdana" w:eastAsia="Times New Roman" w:hAnsi="Verdana" w:cstheme="minorBidi"/>
      <w:noProof/>
      <w:sz w:val="16"/>
      <w:szCs w:val="22"/>
    </w:rPr>
  </w:style>
  <w:style w:type="character" w:styleId="EndnoteReference">
    <w:name w:val="endnote reference"/>
    <w:basedOn w:val="DefaultParagraphFont"/>
    <w:rsid w:val="00CB311A"/>
    <w:rPr>
      <w:vertAlign w:val="superscript"/>
    </w:rPr>
  </w:style>
  <w:style w:type="paragraph" w:styleId="EndnoteText">
    <w:name w:val="endnote text"/>
    <w:basedOn w:val="Normal"/>
    <w:link w:val="EndnoteTextChar"/>
    <w:rsid w:val="00CB311A"/>
    <w:pPr>
      <w:widowControl/>
      <w:autoSpaceDE/>
      <w:autoSpaceDN/>
      <w:spacing w:before="120" w:after="120"/>
    </w:pPr>
    <w:rPr>
      <w:rFonts w:eastAsia="Times New Roman" w:cstheme="minorBidi"/>
      <w:sz w:val="20"/>
      <w:szCs w:val="20"/>
    </w:rPr>
  </w:style>
  <w:style w:type="character" w:customStyle="1" w:styleId="EndnoteTextChar">
    <w:name w:val="Endnote Text Char"/>
    <w:basedOn w:val="DefaultParagraphFont"/>
    <w:link w:val="EndnoteText"/>
    <w:rsid w:val="00CB311A"/>
    <w:rPr>
      <w:rFonts w:ascii="Verdana" w:eastAsia="Times New Roman" w:hAnsi="Verdana" w:cstheme="minorBidi"/>
    </w:rPr>
  </w:style>
  <w:style w:type="character" w:customStyle="1" w:styleId="Heading1Char">
    <w:name w:val="Heading 1 Char"/>
    <w:basedOn w:val="DefaultParagraphFont"/>
    <w:link w:val="Heading1"/>
    <w:uiPriority w:val="1"/>
    <w:rsid w:val="00CB311A"/>
    <w:rPr>
      <w:rFonts w:ascii="Verdana" w:eastAsia="Verdana" w:hAnsi="Verdana" w:cs="Verdana"/>
      <w:b/>
      <w:bCs/>
      <w:sz w:val="36"/>
      <w:szCs w:val="36"/>
    </w:rPr>
  </w:style>
  <w:style w:type="character" w:customStyle="1" w:styleId="Heading2Char">
    <w:name w:val="Heading 2 Char"/>
    <w:basedOn w:val="DefaultParagraphFont"/>
    <w:link w:val="Heading2"/>
    <w:uiPriority w:val="1"/>
    <w:rsid w:val="00CB311A"/>
    <w:rPr>
      <w:rFonts w:ascii="Verdana" w:eastAsia="Verdana" w:hAnsi="Verdana" w:cs="Verdana"/>
      <w:sz w:val="32"/>
      <w:szCs w:val="32"/>
    </w:rPr>
  </w:style>
  <w:style w:type="character" w:customStyle="1" w:styleId="Heading3Char">
    <w:name w:val="Heading 3 Char"/>
    <w:basedOn w:val="DefaultParagraphFont"/>
    <w:link w:val="Heading3"/>
    <w:uiPriority w:val="1"/>
    <w:rsid w:val="00CB311A"/>
    <w:rPr>
      <w:rFonts w:ascii="Verdana" w:eastAsia="Verdana" w:hAnsi="Verdana" w:cs="Verdana"/>
      <w:b/>
      <w:bCs/>
      <w:sz w:val="18"/>
      <w:szCs w:val="18"/>
    </w:rPr>
  </w:style>
  <w:style w:type="character" w:customStyle="1" w:styleId="Heading4Char">
    <w:name w:val="Heading 4 Char"/>
    <w:basedOn w:val="DefaultParagraphFont"/>
    <w:link w:val="Heading4"/>
    <w:uiPriority w:val="9"/>
    <w:semiHidden/>
    <w:rsid w:val="00CB311A"/>
    <w:rPr>
      <w:rFonts w:asciiTheme="majorHAnsi" w:eastAsiaTheme="majorEastAsia" w:hAnsiTheme="majorHAnsi" w:cstheme="majorBidi"/>
      <w:i/>
      <w:iCs/>
      <w:color w:val="638C1B" w:themeColor="accent1" w:themeShade="BF"/>
      <w:sz w:val="22"/>
      <w:szCs w:val="22"/>
    </w:rPr>
  </w:style>
  <w:style w:type="character" w:customStyle="1" w:styleId="Heading5Char">
    <w:name w:val="Heading 5 Char"/>
    <w:basedOn w:val="DefaultParagraphFont"/>
    <w:link w:val="Heading5"/>
    <w:uiPriority w:val="9"/>
    <w:semiHidden/>
    <w:rsid w:val="00CB311A"/>
    <w:rPr>
      <w:rFonts w:asciiTheme="majorHAnsi" w:eastAsiaTheme="majorEastAsia" w:hAnsiTheme="majorHAnsi" w:cstheme="majorBidi"/>
      <w:color w:val="638C1B" w:themeColor="accent1" w:themeShade="BF"/>
      <w:sz w:val="22"/>
      <w:szCs w:val="22"/>
    </w:rPr>
  </w:style>
  <w:style w:type="paragraph" w:customStyle="1" w:styleId="PABullet1">
    <w:name w:val="PA Bullet 1"/>
    <w:basedOn w:val="Normal"/>
    <w:uiPriority w:val="1"/>
    <w:qFormat/>
    <w:rsid w:val="00981490"/>
    <w:pPr>
      <w:widowControl/>
      <w:autoSpaceDE/>
      <w:autoSpaceDN/>
      <w:spacing w:before="120" w:after="120"/>
    </w:pPr>
    <w:rPr>
      <w:rFonts w:eastAsiaTheme="minorHAnsi" w:cs="Calibri"/>
      <w:color w:val="000000"/>
      <w:szCs w:val="18"/>
      <w:shd w:val="clear" w:color="auto" w:fill="FFFFFF"/>
      <w:lang w:val="en-GB"/>
    </w:rPr>
  </w:style>
  <w:style w:type="paragraph" w:customStyle="1" w:styleId="PAAlphaList">
    <w:name w:val="PA Alpha List"/>
    <w:basedOn w:val="PABullet1"/>
    <w:uiPriority w:val="1"/>
    <w:qFormat/>
    <w:rsid w:val="00CB311A"/>
    <w:pPr>
      <w:numPr>
        <w:numId w:val="3"/>
      </w:numPr>
    </w:pPr>
  </w:style>
  <w:style w:type="paragraph" w:customStyle="1" w:styleId="PABodyParagraph">
    <w:name w:val="PA Body Paragraph"/>
    <w:basedOn w:val="Normal"/>
    <w:uiPriority w:val="1"/>
    <w:qFormat/>
    <w:rsid w:val="00CB311A"/>
    <w:pPr>
      <w:spacing w:after="320"/>
    </w:pPr>
    <w:rPr>
      <w:szCs w:val="18"/>
    </w:rPr>
  </w:style>
  <w:style w:type="paragraph" w:customStyle="1" w:styleId="PABullet2">
    <w:name w:val="PA Bullet 2"/>
    <w:basedOn w:val="ListParagraph"/>
    <w:uiPriority w:val="1"/>
    <w:qFormat/>
    <w:rsid w:val="00CB311A"/>
    <w:pPr>
      <w:numPr>
        <w:numId w:val="4"/>
      </w:numPr>
      <w:spacing w:before="120" w:after="120" w:line="200" w:lineRule="atLeast"/>
      <w:contextualSpacing w:val="0"/>
    </w:pPr>
  </w:style>
  <w:style w:type="paragraph" w:customStyle="1" w:styleId="PABullet3">
    <w:name w:val="PA Bullet 3"/>
    <w:basedOn w:val="PABullet2"/>
    <w:uiPriority w:val="1"/>
    <w:qFormat/>
    <w:rsid w:val="00CB311A"/>
    <w:pPr>
      <w:ind w:left="1080"/>
    </w:pPr>
  </w:style>
  <w:style w:type="paragraph" w:customStyle="1" w:styleId="PADateSubtitle">
    <w:name w:val="PA Date Subtitle"/>
    <w:basedOn w:val="Normal"/>
    <w:link w:val="PADateSubtitleChar"/>
    <w:uiPriority w:val="1"/>
    <w:qFormat/>
    <w:rsid w:val="00CB311A"/>
    <w:pPr>
      <w:spacing w:before="240"/>
    </w:pPr>
    <w:rPr>
      <w:sz w:val="32"/>
    </w:rPr>
  </w:style>
  <w:style w:type="character" w:customStyle="1" w:styleId="PADateSubtitleChar">
    <w:name w:val="PA Date Subtitle Char"/>
    <w:basedOn w:val="DefaultParagraphFont"/>
    <w:link w:val="PADateSubtitle"/>
    <w:uiPriority w:val="1"/>
    <w:rsid w:val="00CB311A"/>
    <w:rPr>
      <w:rFonts w:ascii="Verdana" w:eastAsia="Verdana" w:hAnsi="Verdana" w:cs="Verdana"/>
      <w:sz w:val="32"/>
      <w:szCs w:val="22"/>
    </w:rPr>
  </w:style>
  <w:style w:type="paragraph" w:customStyle="1" w:styleId="PAForExample">
    <w:name w:val="PA For Example"/>
    <w:basedOn w:val="Normal"/>
    <w:uiPriority w:val="1"/>
    <w:qFormat/>
    <w:rsid w:val="00CB311A"/>
    <w:pPr>
      <w:spacing w:before="120" w:after="120" w:line="200" w:lineRule="atLeast"/>
      <w:ind w:left="288" w:right="144"/>
    </w:pPr>
    <w:rPr>
      <w:szCs w:val="18"/>
    </w:rPr>
  </w:style>
  <w:style w:type="paragraph" w:customStyle="1" w:styleId="PAForExampleBullets">
    <w:name w:val="PA For Example Bullets"/>
    <w:basedOn w:val="Normal"/>
    <w:uiPriority w:val="1"/>
    <w:qFormat/>
    <w:rsid w:val="00CB311A"/>
    <w:pPr>
      <w:numPr>
        <w:ilvl w:val="2"/>
        <w:numId w:val="5"/>
      </w:numPr>
      <w:spacing w:before="120" w:after="120" w:line="200" w:lineRule="atLeast"/>
    </w:pPr>
  </w:style>
  <w:style w:type="paragraph" w:customStyle="1" w:styleId="PAH2">
    <w:name w:val="PA H2"/>
    <w:basedOn w:val="Heading2"/>
    <w:qFormat/>
    <w:rsid w:val="00E44BAC"/>
    <w:pPr>
      <w:keepNext/>
      <w:tabs>
        <w:tab w:val="left" w:pos="180"/>
      </w:tabs>
      <w:autoSpaceDE/>
      <w:autoSpaceDN/>
      <w:spacing w:before="240"/>
      <w:ind w:left="0"/>
    </w:pPr>
    <w:rPr>
      <w:rFonts w:eastAsiaTheme="majorEastAsia" w:cstheme="majorBidi"/>
      <w:bCs/>
      <w:i/>
      <w:iCs/>
      <w:color w:val="62B5E5" w:themeColor="accent3"/>
      <w:szCs w:val="40"/>
    </w:rPr>
  </w:style>
  <w:style w:type="paragraph" w:customStyle="1" w:styleId="PAH3">
    <w:name w:val="PA H3"/>
    <w:basedOn w:val="Heading4"/>
    <w:next w:val="Normal"/>
    <w:qFormat/>
    <w:rsid w:val="00E44BAC"/>
    <w:pPr>
      <w:keepLines w:val="0"/>
      <w:widowControl/>
      <w:autoSpaceDE/>
      <w:autoSpaceDN/>
      <w:spacing w:before="240"/>
      <w:outlineLvl w:val="2"/>
    </w:pPr>
    <w:rPr>
      <w:rFonts w:ascii="Calibri" w:eastAsia="Times New Roman" w:hAnsi="Calibri"/>
      <w:b/>
      <w:i w:val="0"/>
      <w:iCs w:val="0"/>
      <w:color w:val="000000" w:themeColor="text1"/>
      <w:sz w:val="28"/>
      <w:szCs w:val="36"/>
    </w:rPr>
  </w:style>
  <w:style w:type="paragraph" w:customStyle="1" w:styleId="PANumberedList">
    <w:name w:val="PA Numbered List"/>
    <w:basedOn w:val="PABodyParagraph"/>
    <w:uiPriority w:val="1"/>
    <w:qFormat/>
    <w:rsid w:val="00CB311A"/>
    <w:pPr>
      <w:numPr>
        <w:numId w:val="6"/>
      </w:numPr>
      <w:spacing w:before="120" w:after="120" w:line="200" w:lineRule="atLeast"/>
    </w:pPr>
  </w:style>
  <w:style w:type="paragraph" w:customStyle="1" w:styleId="PATableText">
    <w:name w:val="PA Table Text"/>
    <w:basedOn w:val="Normal"/>
    <w:link w:val="PATableTextChar"/>
    <w:uiPriority w:val="1"/>
    <w:qFormat/>
    <w:rsid w:val="00CB311A"/>
    <w:pPr>
      <w:spacing w:before="120" w:after="120" w:line="200" w:lineRule="atLeast"/>
    </w:pPr>
    <w:rPr>
      <w:sz w:val="17"/>
    </w:rPr>
  </w:style>
  <w:style w:type="character" w:customStyle="1" w:styleId="PATableTextChar">
    <w:name w:val="PA Table Text Char"/>
    <w:basedOn w:val="DefaultParagraphFont"/>
    <w:link w:val="PATableText"/>
    <w:uiPriority w:val="1"/>
    <w:rsid w:val="00CB311A"/>
    <w:rPr>
      <w:rFonts w:ascii="Verdana" w:eastAsia="Verdana" w:hAnsi="Verdana" w:cs="Verdana"/>
      <w:sz w:val="17"/>
      <w:szCs w:val="22"/>
    </w:rPr>
  </w:style>
  <w:style w:type="paragraph" w:customStyle="1" w:styleId="PATableAlphaList">
    <w:name w:val="PA Table Alpha List"/>
    <w:basedOn w:val="PATableText"/>
    <w:link w:val="PATableAlphaListChar"/>
    <w:uiPriority w:val="1"/>
    <w:qFormat/>
    <w:rsid w:val="00CB311A"/>
    <w:pPr>
      <w:numPr>
        <w:numId w:val="7"/>
      </w:numPr>
    </w:pPr>
  </w:style>
  <w:style w:type="character" w:customStyle="1" w:styleId="PATableAlphaListChar">
    <w:name w:val="PA Table Alpha List Char"/>
    <w:basedOn w:val="PATableTextChar"/>
    <w:link w:val="PATableAlphaList"/>
    <w:uiPriority w:val="1"/>
    <w:rsid w:val="00CB311A"/>
    <w:rPr>
      <w:rFonts w:ascii="Verdana" w:eastAsia="Verdana" w:hAnsi="Verdana" w:cs="Verdana"/>
      <w:sz w:val="17"/>
      <w:szCs w:val="22"/>
    </w:rPr>
  </w:style>
  <w:style w:type="paragraph" w:customStyle="1" w:styleId="PATableB1">
    <w:name w:val="PA Table B1"/>
    <w:basedOn w:val="Normal"/>
    <w:uiPriority w:val="1"/>
    <w:qFormat/>
    <w:rsid w:val="00CB311A"/>
    <w:pPr>
      <w:widowControl/>
      <w:autoSpaceDE/>
      <w:autoSpaceDN/>
      <w:spacing w:before="120" w:after="120" w:line="200" w:lineRule="atLeast"/>
      <w:ind w:left="360" w:hanging="360"/>
    </w:pPr>
    <w:rPr>
      <w:rFonts w:eastAsiaTheme="minorHAnsi" w:cstheme="minorBidi"/>
      <w:sz w:val="17"/>
      <w:szCs w:val="17"/>
      <w:lang w:val="en-GB"/>
    </w:rPr>
  </w:style>
  <w:style w:type="paragraph" w:customStyle="1" w:styleId="PATableHeading">
    <w:name w:val="PA Table Heading"/>
    <w:basedOn w:val="Normal"/>
    <w:uiPriority w:val="1"/>
    <w:qFormat/>
    <w:rsid w:val="00CB311A"/>
    <w:pPr>
      <w:spacing w:before="120" w:after="120" w:line="200" w:lineRule="atLeast"/>
      <w:ind w:left="60" w:right="64"/>
    </w:pPr>
    <w:rPr>
      <w:b/>
      <w:color w:val="62B5E5"/>
      <w:szCs w:val="18"/>
    </w:rPr>
  </w:style>
  <w:style w:type="paragraph" w:customStyle="1" w:styleId="PATableNumberList">
    <w:name w:val="PA Table Number List"/>
    <w:basedOn w:val="PATableText"/>
    <w:uiPriority w:val="1"/>
    <w:qFormat/>
    <w:rsid w:val="00CB311A"/>
    <w:pPr>
      <w:numPr>
        <w:numId w:val="8"/>
      </w:numPr>
    </w:pPr>
  </w:style>
  <w:style w:type="paragraph" w:customStyle="1" w:styleId="PATitle">
    <w:name w:val="PA Title"/>
    <w:basedOn w:val="Normal"/>
    <w:next w:val="Normal"/>
    <w:link w:val="PATitleChar"/>
    <w:autoRedefine/>
    <w:qFormat/>
    <w:rsid w:val="00AE66C8"/>
    <w:pPr>
      <w:widowControl/>
      <w:autoSpaceDE/>
      <w:autoSpaceDN/>
      <w:spacing w:before="100" w:beforeAutospacing="1" w:after="100" w:afterAutospacing="1"/>
    </w:pPr>
    <w:rPr>
      <w:rFonts w:eastAsiaTheme="majorEastAsia" w:cs="Calibri"/>
      <w:bCs/>
      <w:color w:val="000000" w:themeColor="text1"/>
      <w:sz w:val="56"/>
      <w:szCs w:val="56"/>
      <w:lang w:val="en-GB"/>
    </w:rPr>
  </w:style>
  <w:style w:type="character" w:customStyle="1" w:styleId="PATitleChar">
    <w:name w:val="PA Title Char"/>
    <w:basedOn w:val="DefaultParagraphFont"/>
    <w:link w:val="PATitle"/>
    <w:rsid w:val="00AE66C8"/>
    <w:rPr>
      <w:rFonts w:eastAsiaTheme="majorEastAsia" w:cs="Calibri"/>
      <w:bCs/>
      <w:color w:val="000000" w:themeColor="text1"/>
      <w:sz w:val="56"/>
      <w:szCs w:val="56"/>
      <w:lang w:val="en-GB"/>
    </w:rPr>
  </w:style>
  <w:style w:type="paragraph" w:styleId="TOC1">
    <w:name w:val="toc 1"/>
    <w:basedOn w:val="Normal"/>
    <w:next w:val="Normal"/>
    <w:autoRedefine/>
    <w:uiPriority w:val="39"/>
    <w:unhideWhenUsed/>
    <w:rsid w:val="00CB311A"/>
    <w:pPr>
      <w:spacing w:after="100"/>
    </w:pPr>
  </w:style>
  <w:style w:type="paragraph" w:styleId="TOC2">
    <w:name w:val="toc 2"/>
    <w:basedOn w:val="Normal"/>
    <w:next w:val="Normal"/>
    <w:autoRedefine/>
    <w:uiPriority w:val="39"/>
    <w:unhideWhenUsed/>
    <w:rsid w:val="00CB311A"/>
    <w:pPr>
      <w:spacing w:after="100"/>
      <w:ind w:left="220"/>
    </w:pPr>
  </w:style>
  <w:style w:type="paragraph" w:styleId="TOC3">
    <w:name w:val="toc 3"/>
    <w:basedOn w:val="Normal"/>
    <w:next w:val="Normal"/>
    <w:autoRedefine/>
    <w:uiPriority w:val="39"/>
    <w:unhideWhenUsed/>
    <w:rsid w:val="00CB311A"/>
    <w:pPr>
      <w:spacing w:after="100"/>
      <w:ind w:left="440"/>
    </w:pPr>
  </w:style>
  <w:style w:type="paragraph" w:customStyle="1" w:styleId="PAH4">
    <w:name w:val="PA H4"/>
    <w:basedOn w:val="Normal"/>
    <w:link w:val="PAH4Char"/>
    <w:uiPriority w:val="1"/>
    <w:qFormat/>
    <w:rsid w:val="00CB311A"/>
    <w:pPr>
      <w:keepNext/>
      <w:adjustRightInd w:val="0"/>
      <w:spacing w:before="240"/>
    </w:pPr>
    <w:rPr>
      <w:b/>
      <w:i/>
      <w:color w:val="000000" w:themeColor="text1"/>
      <w:sz w:val="24"/>
    </w:rPr>
  </w:style>
  <w:style w:type="character" w:customStyle="1" w:styleId="PAH4Char">
    <w:name w:val="PA H4 Char"/>
    <w:basedOn w:val="DefaultParagraphFont"/>
    <w:link w:val="PAH4"/>
    <w:uiPriority w:val="1"/>
    <w:rsid w:val="00CB311A"/>
    <w:rPr>
      <w:rFonts w:ascii="Verdana" w:eastAsia="Verdana" w:hAnsi="Verdana" w:cs="Verdana"/>
      <w:b/>
      <w:i/>
      <w:color w:val="000000" w:themeColor="text1"/>
      <w:sz w:val="24"/>
      <w:szCs w:val="22"/>
    </w:rPr>
  </w:style>
  <w:style w:type="character" w:styleId="UnresolvedMention">
    <w:name w:val="Unresolved Mention"/>
    <w:basedOn w:val="DefaultParagraphFont"/>
    <w:uiPriority w:val="99"/>
    <w:semiHidden/>
    <w:unhideWhenUsed/>
    <w:rsid w:val="00F827DD"/>
    <w:rPr>
      <w:color w:val="605E5C"/>
      <w:shd w:val="clear" w:color="auto" w:fill="E1DFDD"/>
    </w:rPr>
  </w:style>
  <w:style w:type="character" w:customStyle="1" w:styleId="dart-i">
    <w:name w:val="dart-i"/>
    <w:basedOn w:val="DefaultParagraphFont"/>
    <w:rsid w:val="00EA7315"/>
  </w:style>
  <w:style w:type="paragraph" w:customStyle="1" w:styleId="PABulletLink75IND">
    <w:name w:val="PA_Bullet_Link_.75IND"/>
    <w:basedOn w:val="PABullet1"/>
    <w:uiPriority w:val="1"/>
    <w:qFormat/>
    <w:rsid w:val="00981490"/>
    <w:pPr>
      <w:numPr>
        <w:numId w:val="2"/>
      </w:numPr>
    </w:pPr>
  </w:style>
  <w:style w:type="paragraph" w:customStyle="1" w:styleId="PGADateSubtitle">
    <w:name w:val="PGA Date Subtitle"/>
    <w:basedOn w:val="Normal"/>
    <w:link w:val="PGADateSubtitleChar"/>
    <w:qFormat/>
    <w:rsid w:val="00493116"/>
    <w:pPr>
      <w:spacing w:before="120" w:after="0"/>
    </w:pPr>
    <w:rPr>
      <w:rFonts w:ascii="Verdana" w:hAnsi="Verdana"/>
      <w:sz w:val="40"/>
    </w:rPr>
  </w:style>
  <w:style w:type="character" w:customStyle="1" w:styleId="PGADateSubtitleChar">
    <w:name w:val="PGA Date Subtitle Char"/>
    <w:basedOn w:val="DefaultParagraphFont"/>
    <w:link w:val="PGADateSubtitle"/>
    <w:rsid w:val="00493116"/>
    <w:rPr>
      <w:rFonts w:ascii="Verdana" w:eastAsia="Verdana" w:hAnsi="Verdana" w:cs="Verdana"/>
      <w:sz w:val="40"/>
      <w:szCs w:val="22"/>
    </w:rPr>
  </w:style>
  <w:style w:type="character" w:customStyle="1" w:styleId="dart-text">
    <w:name w:val="dart-text"/>
    <w:basedOn w:val="DefaultParagraphFont"/>
    <w:rsid w:val="00C9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174">
      <w:bodyDiv w:val="1"/>
      <w:marLeft w:val="0"/>
      <w:marRight w:val="0"/>
      <w:marTop w:val="0"/>
      <w:marBottom w:val="0"/>
      <w:divBdr>
        <w:top w:val="none" w:sz="0" w:space="0" w:color="auto"/>
        <w:left w:val="none" w:sz="0" w:space="0" w:color="auto"/>
        <w:bottom w:val="none" w:sz="0" w:space="0" w:color="auto"/>
        <w:right w:val="none" w:sz="0" w:space="0" w:color="auto"/>
      </w:divBdr>
      <w:divsChild>
        <w:div w:id="577834620">
          <w:marLeft w:val="0"/>
          <w:marRight w:val="0"/>
          <w:marTop w:val="150"/>
          <w:marBottom w:val="150"/>
          <w:divBdr>
            <w:top w:val="none" w:sz="0" w:space="0" w:color="auto"/>
            <w:left w:val="none" w:sz="0" w:space="0" w:color="auto"/>
            <w:bottom w:val="none" w:sz="0" w:space="0" w:color="auto"/>
            <w:right w:val="none" w:sz="0" w:space="0" w:color="auto"/>
          </w:divBdr>
        </w:div>
        <w:div w:id="908463518">
          <w:marLeft w:val="0"/>
          <w:marRight w:val="0"/>
          <w:marTop w:val="150"/>
          <w:marBottom w:val="150"/>
          <w:divBdr>
            <w:top w:val="none" w:sz="0" w:space="0" w:color="auto"/>
            <w:left w:val="none" w:sz="0" w:space="0" w:color="auto"/>
            <w:bottom w:val="none" w:sz="0" w:space="0" w:color="auto"/>
            <w:right w:val="none" w:sz="0" w:space="0" w:color="auto"/>
          </w:divBdr>
        </w:div>
      </w:divsChild>
    </w:div>
    <w:div w:id="72899240">
      <w:bodyDiv w:val="1"/>
      <w:marLeft w:val="0"/>
      <w:marRight w:val="0"/>
      <w:marTop w:val="0"/>
      <w:marBottom w:val="0"/>
      <w:divBdr>
        <w:top w:val="none" w:sz="0" w:space="0" w:color="auto"/>
        <w:left w:val="none" w:sz="0" w:space="0" w:color="auto"/>
        <w:bottom w:val="none" w:sz="0" w:space="0" w:color="auto"/>
        <w:right w:val="none" w:sz="0" w:space="0" w:color="auto"/>
      </w:divBdr>
    </w:div>
    <w:div w:id="77673950">
      <w:bodyDiv w:val="1"/>
      <w:marLeft w:val="0"/>
      <w:marRight w:val="0"/>
      <w:marTop w:val="0"/>
      <w:marBottom w:val="0"/>
      <w:divBdr>
        <w:top w:val="none" w:sz="0" w:space="0" w:color="auto"/>
        <w:left w:val="none" w:sz="0" w:space="0" w:color="auto"/>
        <w:bottom w:val="none" w:sz="0" w:space="0" w:color="auto"/>
        <w:right w:val="none" w:sz="0" w:space="0" w:color="auto"/>
      </w:divBdr>
    </w:div>
    <w:div w:id="111442326">
      <w:bodyDiv w:val="1"/>
      <w:marLeft w:val="0"/>
      <w:marRight w:val="0"/>
      <w:marTop w:val="0"/>
      <w:marBottom w:val="0"/>
      <w:divBdr>
        <w:top w:val="none" w:sz="0" w:space="0" w:color="auto"/>
        <w:left w:val="none" w:sz="0" w:space="0" w:color="auto"/>
        <w:bottom w:val="none" w:sz="0" w:space="0" w:color="auto"/>
        <w:right w:val="none" w:sz="0" w:space="0" w:color="auto"/>
      </w:divBdr>
      <w:divsChild>
        <w:div w:id="1390885502">
          <w:marLeft w:val="0"/>
          <w:marRight w:val="0"/>
          <w:marTop w:val="150"/>
          <w:marBottom w:val="150"/>
          <w:divBdr>
            <w:top w:val="none" w:sz="0" w:space="0" w:color="auto"/>
            <w:left w:val="none" w:sz="0" w:space="0" w:color="auto"/>
            <w:bottom w:val="none" w:sz="0" w:space="0" w:color="auto"/>
            <w:right w:val="none" w:sz="0" w:space="0" w:color="auto"/>
          </w:divBdr>
        </w:div>
        <w:div w:id="2130931840">
          <w:marLeft w:val="0"/>
          <w:marRight w:val="0"/>
          <w:marTop w:val="150"/>
          <w:marBottom w:val="150"/>
          <w:divBdr>
            <w:top w:val="none" w:sz="0" w:space="0" w:color="auto"/>
            <w:left w:val="none" w:sz="0" w:space="0" w:color="auto"/>
            <w:bottom w:val="none" w:sz="0" w:space="0" w:color="auto"/>
            <w:right w:val="none" w:sz="0" w:space="0" w:color="auto"/>
          </w:divBdr>
        </w:div>
      </w:divsChild>
    </w:div>
    <w:div w:id="214321292">
      <w:bodyDiv w:val="1"/>
      <w:marLeft w:val="0"/>
      <w:marRight w:val="0"/>
      <w:marTop w:val="0"/>
      <w:marBottom w:val="0"/>
      <w:divBdr>
        <w:top w:val="none" w:sz="0" w:space="0" w:color="auto"/>
        <w:left w:val="none" w:sz="0" w:space="0" w:color="auto"/>
        <w:bottom w:val="none" w:sz="0" w:space="0" w:color="auto"/>
        <w:right w:val="none" w:sz="0" w:space="0" w:color="auto"/>
      </w:divBdr>
    </w:div>
    <w:div w:id="262416763">
      <w:bodyDiv w:val="1"/>
      <w:marLeft w:val="0"/>
      <w:marRight w:val="0"/>
      <w:marTop w:val="0"/>
      <w:marBottom w:val="0"/>
      <w:divBdr>
        <w:top w:val="none" w:sz="0" w:space="0" w:color="auto"/>
        <w:left w:val="none" w:sz="0" w:space="0" w:color="auto"/>
        <w:bottom w:val="none" w:sz="0" w:space="0" w:color="auto"/>
        <w:right w:val="none" w:sz="0" w:space="0" w:color="auto"/>
      </w:divBdr>
    </w:div>
    <w:div w:id="308636812">
      <w:bodyDiv w:val="1"/>
      <w:marLeft w:val="0"/>
      <w:marRight w:val="0"/>
      <w:marTop w:val="0"/>
      <w:marBottom w:val="0"/>
      <w:divBdr>
        <w:top w:val="none" w:sz="0" w:space="0" w:color="auto"/>
        <w:left w:val="none" w:sz="0" w:space="0" w:color="auto"/>
        <w:bottom w:val="none" w:sz="0" w:space="0" w:color="auto"/>
        <w:right w:val="none" w:sz="0" w:space="0" w:color="auto"/>
      </w:divBdr>
      <w:divsChild>
        <w:div w:id="1056440831">
          <w:marLeft w:val="0"/>
          <w:marRight w:val="0"/>
          <w:marTop w:val="150"/>
          <w:marBottom w:val="150"/>
          <w:divBdr>
            <w:top w:val="none" w:sz="0" w:space="0" w:color="auto"/>
            <w:left w:val="none" w:sz="0" w:space="0" w:color="auto"/>
            <w:bottom w:val="none" w:sz="0" w:space="0" w:color="auto"/>
            <w:right w:val="none" w:sz="0" w:space="0" w:color="auto"/>
          </w:divBdr>
        </w:div>
        <w:div w:id="1784422787">
          <w:marLeft w:val="0"/>
          <w:marRight w:val="0"/>
          <w:marTop w:val="150"/>
          <w:marBottom w:val="150"/>
          <w:divBdr>
            <w:top w:val="none" w:sz="0" w:space="0" w:color="auto"/>
            <w:left w:val="none" w:sz="0" w:space="0" w:color="auto"/>
            <w:bottom w:val="none" w:sz="0" w:space="0" w:color="auto"/>
            <w:right w:val="none" w:sz="0" w:space="0" w:color="auto"/>
          </w:divBdr>
          <w:divsChild>
            <w:div w:id="1318455029">
              <w:marLeft w:val="0"/>
              <w:marRight w:val="0"/>
              <w:marTop w:val="150"/>
              <w:marBottom w:val="150"/>
              <w:divBdr>
                <w:top w:val="none" w:sz="0" w:space="0" w:color="auto"/>
                <w:left w:val="none" w:sz="0" w:space="0" w:color="auto"/>
                <w:bottom w:val="none" w:sz="0" w:space="0" w:color="auto"/>
                <w:right w:val="none" w:sz="0" w:space="0" w:color="auto"/>
              </w:divBdr>
            </w:div>
            <w:div w:id="16998884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12703176">
      <w:bodyDiv w:val="1"/>
      <w:marLeft w:val="0"/>
      <w:marRight w:val="0"/>
      <w:marTop w:val="0"/>
      <w:marBottom w:val="0"/>
      <w:divBdr>
        <w:top w:val="none" w:sz="0" w:space="0" w:color="auto"/>
        <w:left w:val="none" w:sz="0" w:space="0" w:color="auto"/>
        <w:bottom w:val="none" w:sz="0" w:space="0" w:color="auto"/>
        <w:right w:val="none" w:sz="0" w:space="0" w:color="auto"/>
      </w:divBdr>
      <w:divsChild>
        <w:div w:id="937446568">
          <w:marLeft w:val="0"/>
          <w:marRight w:val="0"/>
          <w:marTop w:val="150"/>
          <w:marBottom w:val="150"/>
          <w:divBdr>
            <w:top w:val="none" w:sz="0" w:space="0" w:color="auto"/>
            <w:left w:val="none" w:sz="0" w:space="0" w:color="auto"/>
            <w:bottom w:val="none" w:sz="0" w:space="0" w:color="auto"/>
            <w:right w:val="none" w:sz="0" w:space="0" w:color="auto"/>
          </w:divBdr>
        </w:div>
        <w:div w:id="1667510823">
          <w:marLeft w:val="0"/>
          <w:marRight w:val="0"/>
          <w:marTop w:val="150"/>
          <w:marBottom w:val="150"/>
          <w:divBdr>
            <w:top w:val="none" w:sz="0" w:space="0" w:color="auto"/>
            <w:left w:val="none" w:sz="0" w:space="0" w:color="auto"/>
            <w:bottom w:val="none" w:sz="0" w:space="0" w:color="auto"/>
            <w:right w:val="none" w:sz="0" w:space="0" w:color="auto"/>
          </w:divBdr>
        </w:div>
      </w:divsChild>
    </w:div>
    <w:div w:id="444422787">
      <w:bodyDiv w:val="1"/>
      <w:marLeft w:val="0"/>
      <w:marRight w:val="0"/>
      <w:marTop w:val="0"/>
      <w:marBottom w:val="0"/>
      <w:divBdr>
        <w:top w:val="none" w:sz="0" w:space="0" w:color="auto"/>
        <w:left w:val="none" w:sz="0" w:space="0" w:color="auto"/>
        <w:bottom w:val="none" w:sz="0" w:space="0" w:color="auto"/>
        <w:right w:val="none" w:sz="0" w:space="0" w:color="auto"/>
      </w:divBdr>
    </w:div>
    <w:div w:id="507063948">
      <w:bodyDiv w:val="1"/>
      <w:marLeft w:val="0"/>
      <w:marRight w:val="0"/>
      <w:marTop w:val="0"/>
      <w:marBottom w:val="0"/>
      <w:divBdr>
        <w:top w:val="none" w:sz="0" w:space="0" w:color="auto"/>
        <w:left w:val="none" w:sz="0" w:space="0" w:color="auto"/>
        <w:bottom w:val="none" w:sz="0" w:space="0" w:color="auto"/>
        <w:right w:val="none" w:sz="0" w:space="0" w:color="auto"/>
      </w:divBdr>
    </w:div>
    <w:div w:id="536352511">
      <w:bodyDiv w:val="1"/>
      <w:marLeft w:val="0"/>
      <w:marRight w:val="0"/>
      <w:marTop w:val="0"/>
      <w:marBottom w:val="0"/>
      <w:divBdr>
        <w:top w:val="none" w:sz="0" w:space="0" w:color="auto"/>
        <w:left w:val="none" w:sz="0" w:space="0" w:color="auto"/>
        <w:bottom w:val="none" w:sz="0" w:space="0" w:color="auto"/>
        <w:right w:val="none" w:sz="0" w:space="0" w:color="auto"/>
      </w:divBdr>
    </w:div>
    <w:div w:id="560291567">
      <w:bodyDiv w:val="1"/>
      <w:marLeft w:val="0"/>
      <w:marRight w:val="0"/>
      <w:marTop w:val="0"/>
      <w:marBottom w:val="0"/>
      <w:divBdr>
        <w:top w:val="none" w:sz="0" w:space="0" w:color="auto"/>
        <w:left w:val="none" w:sz="0" w:space="0" w:color="auto"/>
        <w:bottom w:val="none" w:sz="0" w:space="0" w:color="auto"/>
        <w:right w:val="none" w:sz="0" w:space="0" w:color="auto"/>
      </w:divBdr>
    </w:div>
    <w:div w:id="570042548">
      <w:bodyDiv w:val="1"/>
      <w:marLeft w:val="0"/>
      <w:marRight w:val="0"/>
      <w:marTop w:val="0"/>
      <w:marBottom w:val="0"/>
      <w:divBdr>
        <w:top w:val="none" w:sz="0" w:space="0" w:color="auto"/>
        <w:left w:val="none" w:sz="0" w:space="0" w:color="auto"/>
        <w:bottom w:val="none" w:sz="0" w:space="0" w:color="auto"/>
        <w:right w:val="none" w:sz="0" w:space="0" w:color="auto"/>
      </w:divBdr>
      <w:divsChild>
        <w:div w:id="674578818">
          <w:marLeft w:val="0"/>
          <w:marRight w:val="0"/>
          <w:marTop w:val="300"/>
          <w:marBottom w:val="300"/>
          <w:divBdr>
            <w:top w:val="none" w:sz="0" w:space="0" w:color="auto"/>
            <w:left w:val="none" w:sz="0" w:space="0" w:color="auto"/>
            <w:bottom w:val="none" w:sz="0" w:space="0" w:color="auto"/>
            <w:right w:val="none" w:sz="0" w:space="0" w:color="auto"/>
          </w:divBdr>
          <w:divsChild>
            <w:div w:id="14817245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81333534">
      <w:bodyDiv w:val="1"/>
      <w:marLeft w:val="0"/>
      <w:marRight w:val="0"/>
      <w:marTop w:val="0"/>
      <w:marBottom w:val="0"/>
      <w:divBdr>
        <w:top w:val="none" w:sz="0" w:space="0" w:color="auto"/>
        <w:left w:val="none" w:sz="0" w:space="0" w:color="auto"/>
        <w:bottom w:val="none" w:sz="0" w:space="0" w:color="auto"/>
        <w:right w:val="none" w:sz="0" w:space="0" w:color="auto"/>
      </w:divBdr>
    </w:div>
    <w:div w:id="652564668">
      <w:bodyDiv w:val="1"/>
      <w:marLeft w:val="0"/>
      <w:marRight w:val="0"/>
      <w:marTop w:val="0"/>
      <w:marBottom w:val="0"/>
      <w:divBdr>
        <w:top w:val="none" w:sz="0" w:space="0" w:color="auto"/>
        <w:left w:val="none" w:sz="0" w:space="0" w:color="auto"/>
        <w:bottom w:val="none" w:sz="0" w:space="0" w:color="auto"/>
        <w:right w:val="none" w:sz="0" w:space="0" w:color="auto"/>
      </w:divBdr>
      <w:divsChild>
        <w:div w:id="434323545">
          <w:marLeft w:val="0"/>
          <w:marRight w:val="0"/>
          <w:marTop w:val="150"/>
          <w:marBottom w:val="150"/>
          <w:divBdr>
            <w:top w:val="none" w:sz="0" w:space="0" w:color="auto"/>
            <w:left w:val="none" w:sz="0" w:space="0" w:color="auto"/>
            <w:bottom w:val="none" w:sz="0" w:space="0" w:color="auto"/>
            <w:right w:val="none" w:sz="0" w:space="0" w:color="auto"/>
          </w:divBdr>
        </w:div>
        <w:div w:id="448857242">
          <w:marLeft w:val="0"/>
          <w:marRight w:val="0"/>
          <w:marTop w:val="150"/>
          <w:marBottom w:val="150"/>
          <w:divBdr>
            <w:top w:val="none" w:sz="0" w:space="0" w:color="auto"/>
            <w:left w:val="none" w:sz="0" w:space="0" w:color="auto"/>
            <w:bottom w:val="none" w:sz="0" w:space="0" w:color="auto"/>
            <w:right w:val="none" w:sz="0" w:space="0" w:color="auto"/>
          </w:divBdr>
        </w:div>
      </w:divsChild>
    </w:div>
    <w:div w:id="736394313">
      <w:bodyDiv w:val="1"/>
      <w:marLeft w:val="0"/>
      <w:marRight w:val="0"/>
      <w:marTop w:val="0"/>
      <w:marBottom w:val="0"/>
      <w:divBdr>
        <w:top w:val="none" w:sz="0" w:space="0" w:color="auto"/>
        <w:left w:val="none" w:sz="0" w:space="0" w:color="auto"/>
        <w:bottom w:val="none" w:sz="0" w:space="0" w:color="auto"/>
        <w:right w:val="none" w:sz="0" w:space="0" w:color="auto"/>
      </w:divBdr>
    </w:div>
    <w:div w:id="843740381">
      <w:bodyDiv w:val="1"/>
      <w:marLeft w:val="0"/>
      <w:marRight w:val="0"/>
      <w:marTop w:val="0"/>
      <w:marBottom w:val="0"/>
      <w:divBdr>
        <w:top w:val="none" w:sz="0" w:space="0" w:color="auto"/>
        <w:left w:val="none" w:sz="0" w:space="0" w:color="auto"/>
        <w:bottom w:val="none" w:sz="0" w:space="0" w:color="auto"/>
        <w:right w:val="none" w:sz="0" w:space="0" w:color="auto"/>
      </w:divBdr>
    </w:div>
    <w:div w:id="911044963">
      <w:bodyDiv w:val="1"/>
      <w:marLeft w:val="0"/>
      <w:marRight w:val="0"/>
      <w:marTop w:val="0"/>
      <w:marBottom w:val="0"/>
      <w:divBdr>
        <w:top w:val="none" w:sz="0" w:space="0" w:color="auto"/>
        <w:left w:val="none" w:sz="0" w:space="0" w:color="auto"/>
        <w:bottom w:val="none" w:sz="0" w:space="0" w:color="auto"/>
        <w:right w:val="none" w:sz="0" w:space="0" w:color="auto"/>
      </w:divBdr>
    </w:div>
    <w:div w:id="990333433">
      <w:bodyDiv w:val="1"/>
      <w:marLeft w:val="0"/>
      <w:marRight w:val="0"/>
      <w:marTop w:val="0"/>
      <w:marBottom w:val="0"/>
      <w:divBdr>
        <w:top w:val="none" w:sz="0" w:space="0" w:color="auto"/>
        <w:left w:val="none" w:sz="0" w:space="0" w:color="auto"/>
        <w:bottom w:val="none" w:sz="0" w:space="0" w:color="auto"/>
        <w:right w:val="none" w:sz="0" w:space="0" w:color="auto"/>
      </w:divBdr>
    </w:div>
    <w:div w:id="1058093125">
      <w:bodyDiv w:val="1"/>
      <w:marLeft w:val="0"/>
      <w:marRight w:val="0"/>
      <w:marTop w:val="0"/>
      <w:marBottom w:val="0"/>
      <w:divBdr>
        <w:top w:val="none" w:sz="0" w:space="0" w:color="auto"/>
        <w:left w:val="none" w:sz="0" w:space="0" w:color="auto"/>
        <w:bottom w:val="none" w:sz="0" w:space="0" w:color="auto"/>
        <w:right w:val="none" w:sz="0" w:space="0" w:color="auto"/>
      </w:divBdr>
    </w:div>
    <w:div w:id="1098063391">
      <w:bodyDiv w:val="1"/>
      <w:marLeft w:val="0"/>
      <w:marRight w:val="0"/>
      <w:marTop w:val="0"/>
      <w:marBottom w:val="0"/>
      <w:divBdr>
        <w:top w:val="none" w:sz="0" w:space="0" w:color="auto"/>
        <w:left w:val="none" w:sz="0" w:space="0" w:color="auto"/>
        <w:bottom w:val="none" w:sz="0" w:space="0" w:color="auto"/>
        <w:right w:val="none" w:sz="0" w:space="0" w:color="auto"/>
      </w:divBdr>
    </w:div>
    <w:div w:id="1279221545">
      <w:bodyDiv w:val="1"/>
      <w:marLeft w:val="0"/>
      <w:marRight w:val="0"/>
      <w:marTop w:val="0"/>
      <w:marBottom w:val="0"/>
      <w:divBdr>
        <w:top w:val="none" w:sz="0" w:space="0" w:color="auto"/>
        <w:left w:val="none" w:sz="0" w:space="0" w:color="auto"/>
        <w:bottom w:val="none" w:sz="0" w:space="0" w:color="auto"/>
        <w:right w:val="none" w:sz="0" w:space="0" w:color="auto"/>
      </w:divBdr>
    </w:div>
    <w:div w:id="1382944376">
      <w:bodyDiv w:val="1"/>
      <w:marLeft w:val="0"/>
      <w:marRight w:val="0"/>
      <w:marTop w:val="0"/>
      <w:marBottom w:val="0"/>
      <w:divBdr>
        <w:top w:val="none" w:sz="0" w:space="0" w:color="auto"/>
        <w:left w:val="none" w:sz="0" w:space="0" w:color="auto"/>
        <w:bottom w:val="none" w:sz="0" w:space="0" w:color="auto"/>
        <w:right w:val="none" w:sz="0" w:space="0" w:color="auto"/>
      </w:divBdr>
    </w:div>
    <w:div w:id="1470126338">
      <w:bodyDiv w:val="1"/>
      <w:marLeft w:val="0"/>
      <w:marRight w:val="0"/>
      <w:marTop w:val="0"/>
      <w:marBottom w:val="0"/>
      <w:divBdr>
        <w:top w:val="none" w:sz="0" w:space="0" w:color="auto"/>
        <w:left w:val="none" w:sz="0" w:space="0" w:color="auto"/>
        <w:bottom w:val="none" w:sz="0" w:space="0" w:color="auto"/>
        <w:right w:val="none" w:sz="0" w:space="0" w:color="auto"/>
      </w:divBdr>
    </w:div>
    <w:div w:id="1485274383">
      <w:bodyDiv w:val="1"/>
      <w:marLeft w:val="0"/>
      <w:marRight w:val="0"/>
      <w:marTop w:val="0"/>
      <w:marBottom w:val="0"/>
      <w:divBdr>
        <w:top w:val="none" w:sz="0" w:space="0" w:color="auto"/>
        <w:left w:val="none" w:sz="0" w:space="0" w:color="auto"/>
        <w:bottom w:val="none" w:sz="0" w:space="0" w:color="auto"/>
        <w:right w:val="none" w:sz="0" w:space="0" w:color="auto"/>
      </w:divBdr>
      <w:divsChild>
        <w:div w:id="684869866">
          <w:marLeft w:val="0"/>
          <w:marRight w:val="0"/>
          <w:marTop w:val="0"/>
          <w:marBottom w:val="0"/>
          <w:divBdr>
            <w:top w:val="none" w:sz="0" w:space="0" w:color="auto"/>
            <w:left w:val="none" w:sz="0" w:space="0" w:color="auto"/>
            <w:bottom w:val="none" w:sz="0" w:space="0" w:color="auto"/>
            <w:right w:val="none" w:sz="0" w:space="0" w:color="auto"/>
          </w:divBdr>
          <w:divsChild>
            <w:div w:id="1026442156">
              <w:marLeft w:val="0"/>
              <w:marRight w:val="0"/>
              <w:marTop w:val="0"/>
              <w:marBottom w:val="0"/>
              <w:divBdr>
                <w:top w:val="none" w:sz="0" w:space="0" w:color="auto"/>
                <w:left w:val="none" w:sz="0" w:space="0" w:color="auto"/>
                <w:bottom w:val="none" w:sz="0" w:space="0" w:color="auto"/>
                <w:right w:val="none" w:sz="0" w:space="0" w:color="auto"/>
              </w:divBdr>
              <w:divsChild>
                <w:div w:id="529951750">
                  <w:marLeft w:val="0"/>
                  <w:marRight w:val="0"/>
                  <w:marTop w:val="0"/>
                  <w:marBottom w:val="0"/>
                  <w:divBdr>
                    <w:top w:val="none" w:sz="0" w:space="0" w:color="auto"/>
                    <w:left w:val="none" w:sz="0" w:space="0" w:color="auto"/>
                    <w:bottom w:val="none" w:sz="0" w:space="0" w:color="auto"/>
                    <w:right w:val="none" w:sz="0" w:space="0" w:color="auto"/>
                  </w:divBdr>
                  <w:divsChild>
                    <w:div w:id="328288956">
                      <w:marLeft w:val="0"/>
                      <w:marRight w:val="0"/>
                      <w:marTop w:val="0"/>
                      <w:marBottom w:val="0"/>
                      <w:divBdr>
                        <w:top w:val="none" w:sz="0" w:space="0" w:color="auto"/>
                        <w:left w:val="none" w:sz="0" w:space="0" w:color="auto"/>
                        <w:bottom w:val="none" w:sz="0" w:space="0" w:color="auto"/>
                        <w:right w:val="none" w:sz="0" w:space="0" w:color="auto"/>
                      </w:divBdr>
                      <w:divsChild>
                        <w:div w:id="2004357825">
                          <w:marLeft w:val="0"/>
                          <w:marRight w:val="0"/>
                          <w:marTop w:val="0"/>
                          <w:marBottom w:val="0"/>
                          <w:divBdr>
                            <w:top w:val="none" w:sz="0" w:space="0" w:color="auto"/>
                            <w:left w:val="none" w:sz="0" w:space="0" w:color="auto"/>
                            <w:bottom w:val="none" w:sz="0" w:space="0" w:color="auto"/>
                            <w:right w:val="none" w:sz="0" w:space="0" w:color="auto"/>
                          </w:divBdr>
                          <w:divsChild>
                            <w:div w:id="43215729">
                              <w:marLeft w:val="0"/>
                              <w:marRight w:val="0"/>
                              <w:marTop w:val="0"/>
                              <w:marBottom w:val="0"/>
                              <w:divBdr>
                                <w:top w:val="none" w:sz="0" w:space="0" w:color="auto"/>
                                <w:left w:val="none" w:sz="0" w:space="0" w:color="auto"/>
                                <w:bottom w:val="none" w:sz="0" w:space="0" w:color="auto"/>
                                <w:right w:val="none" w:sz="0" w:space="0" w:color="auto"/>
                              </w:divBdr>
                              <w:divsChild>
                                <w:div w:id="1050347310">
                                  <w:marLeft w:val="0"/>
                                  <w:marRight w:val="0"/>
                                  <w:marTop w:val="0"/>
                                  <w:marBottom w:val="0"/>
                                  <w:divBdr>
                                    <w:top w:val="none" w:sz="0" w:space="0" w:color="auto"/>
                                    <w:left w:val="none" w:sz="0" w:space="0" w:color="auto"/>
                                    <w:bottom w:val="none" w:sz="0" w:space="0" w:color="auto"/>
                                    <w:right w:val="none" w:sz="0" w:space="0" w:color="auto"/>
                                  </w:divBdr>
                                  <w:divsChild>
                                    <w:div w:id="680203954">
                                      <w:marLeft w:val="0"/>
                                      <w:marRight w:val="0"/>
                                      <w:marTop w:val="0"/>
                                      <w:marBottom w:val="0"/>
                                      <w:divBdr>
                                        <w:top w:val="none" w:sz="0" w:space="0" w:color="auto"/>
                                        <w:left w:val="none" w:sz="0" w:space="0" w:color="auto"/>
                                        <w:bottom w:val="none" w:sz="0" w:space="0" w:color="auto"/>
                                        <w:right w:val="none" w:sz="0" w:space="0" w:color="auto"/>
                                      </w:divBdr>
                                    </w:div>
                                    <w:div w:id="915359477">
                                      <w:marLeft w:val="0"/>
                                      <w:marRight w:val="0"/>
                                      <w:marTop w:val="0"/>
                                      <w:marBottom w:val="0"/>
                                      <w:divBdr>
                                        <w:top w:val="none" w:sz="0" w:space="0" w:color="auto"/>
                                        <w:left w:val="none" w:sz="0" w:space="0" w:color="auto"/>
                                        <w:bottom w:val="none" w:sz="0" w:space="0" w:color="auto"/>
                                        <w:right w:val="none" w:sz="0" w:space="0" w:color="auto"/>
                                      </w:divBdr>
                                    </w:div>
                                    <w:div w:id="937522096">
                                      <w:marLeft w:val="0"/>
                                      <w:marRight w:val="0"/>
                                      <w:marTop w:val="0"/>
                                      <w:marBottom w:val="0"/>
                                      <w:divBdr>
                                        <w:top w:val="none" w:sz="0" w:space="0" w:color="auto"/>
                                        <w:left w:val="none" w:sz="0" w:space="0" w:color="auto"/>
                                        <w:bottom w:val="none" w:sz="0" w:space="0" w:color="auto"/>
                                        <w:right w:val="none" w:sz="0" w:space="0" w:color="auto"/>
                                      </w:divBdr>
                                    </w:div>
                                    <w:div w:id="1052969691">
                                      <w:marLeft w:val="0"/>
                                      <w:marRight w:val="0"/>
                                      <w:marTop w:val="0"/>
                                      <w:marBottom w:val="0"/>
                                      <w:divBdr>
                                        <w:top w:val="none" w:sz="0" w:space="0" w:color="auto"/>
                                        <w:left w:val="none" w:sz="0" w:space="0" w:color="auto"/>
                                        <w:bottom w:val="none" w:sz="0" w:space="0" w:color="auto"/>
                                        <w:right w:val="none" w:sz="0" w:space="0" w:color="auto"/>
                                      </w:divBdr>
                                    </w:div>
                                    <w:div w:id="1451893638">
                                      <w:marLeft w:val="0"/>
                                      <w:marRight w:val="0"/>
                                      <w:marTop w:val="0"/>
                                      <w:marBottom w:val="0"/>
                                      <w:divBdr>
                                        <w:top w:val="none" w:sz="0" w:space="0" w:color="auto"/>
                                        <w:left w:val="none" w:sz="0" w:space="0" w:color="auto"/>
                                        <w:bottom w:val="none" w:sz="0" w:space="0" w:color="auto"/>
                                        <w:right w:val="none" w:sz="0" w:space="0" w:color="auto"/>
                                      </w:divBdr>
                                    </w:div>
                                    <w:div w:id="1656832166">
                                      <w:marLeft w:val="0"/>
                                      <w:marRight w:val="0"/>
                                      <w:marTop w:val="0"/>
                                      <w:marBottom w:val="0"/>
                                      <w:divBdr>
                                        <w:top w:val="none" w:sz="0" w:space="0" w:color="auto"/>
                                        <w:left w:val="none" w:sz="0" w:space="0" w:color="auto"/>
                                        <w:bottom w:val="none" w:sz="0" w:space="0" w:color="auto"/>
                                        <w:right w:val="none" w:sz="0" w:space="0" w:color="auto"/>
                                      </w:divBdr>
                                    </w:div>
                                    <w:div w:id="19628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190232">
      <w:bodyDiv w:val="1"/>
      <w:marLeft w:val="0"/>
      <w:marRight w:val="0"/>
      <w:marTop w:val="0"/>
      <w:marBottom w:val="0"/>
      <w:divBdr>
        <w:top w:val="none" w:sz="0" w:space="0" w:color="auto"/>
        <w:left w:val="none" w:sz="0" w:space="0" w:color="auto"/>
        <w:bottom w:val="none" w:sz="0" w:space="0" w:color="auto"/>
        <w:right w:val="none" w:sz="0" w:space="0" w:color="auto"/>
      </w:divBdr>
      <w:divsChild>
        <w:div w:id="494612883">
          <w:marLeft w:val="0"/>
          <w:marRight w:val="0"/>
          <w:marTop w:val="150"/>
          <w:marBottom w:val="150"/>
          <w:divBdr>
            <w:top w:val="none" w:sz="0" w:space="0" w:color="auto"/>
            <w:left w:val="none" w:sz="0" w:space="0" w:color="auto"/>
            <w:bottom w:val="none" w:sz="0" w:space="0" w:color="auto"/>
            <w:right w:val="none" w:sz="0" w:space="0" w:color="auto"/>
          </w:divBdr>
        </w:div>
        <w:div w:id="1848053708">
          <w:marLeft w:val="0"/>
          <w:marRight w:val="0"/>
          <w:marTop w:val="150"/>
          <w:marBottom w:val="150"/>
          <w:divBdr>
            <w:top w:val="none" w:sz="0" w:space="0" w:color="auto"/>
            <w:left w:val="none" w:sz="0" w:space="0" w:color="auto"/>
            <w:bottom w:val="none" w:sz="0" w:space="0" w:color="auto"/>
            <w:right w:val="none" w:sz="0" w:space="0" w:color="auto"/>
          </w:divBdr>
        </w:div>
      </w:divsChild>
    </w:div>
    <w:div w:id="1774477419">
      <w:bodyDiv w:val="1"/>
      <w:marLeft w:val="0"/>
      <w:marRight w:val="0"/>
      <w:marTop w:val="0"/>
      <w:marBottom w:val="0"/>
      <w:divBdr>
        <w:top w:val="none" w:sz="0" w:space="0" w:color="auto"/>
        <w:left w:val="none" w:sz="0" w:space="0" w:color="auto"/>
        <w:bottom w:val="none" w:sz="0" w:space="0" w:color="auto"/>
        <w:right w:val="none" w:sz="0" w:space="0" w:color="auto"/>
      </w:divBdr>
    </w:div>
    <w:div w:id="1823961774">
      <w:bodyDiv w:val="1"/>
      <w:marLeft w:val="0"/>
      <w:marRight w:val="0"/>
      <w:marTop w:val="0"/>
      <w:marBottom w:val="0"/>
      <w:divBdr>
        <w:top w:val="none" w:sz="0" w:space="0" w:color="auto"/>
        <w:left w:val="none" w:sz="0" w:space="0" w:color="auto"/>
        <w:bottom w:val="none" w:sz="0" w:space="0" w:color="auto"/>
        <w:right w:val="none" w:sz="0" w:space="0" w:color="auto"/>
      </w:divBdr>
    </w:div>
    <w:div w:id="1849446756">
      <w:bodyDiv w:val="1"/>
      <w:marLeft w:val="0"/>
      <w:marRight w:val="0"/>
      <w:marTop w:val="0"/>
      <w:marBottom w:val="0"/>
      <w:divBdr>
        <w:top w:val="none" w:sz="0" w:space="0" w:color="auto"/>
        <w:left w:val="none" w:sz="0" w:space="0" w:color="auto"/>
        <w:bottom w:val="none" w:sz="0" w:space="0" w:color="auto"/>
        <w:right w:val="none" w:sz="0" w:space="0" w:color="auto"/>
      </w:divBdr>
    </w:div>
    <w:div w:id="1896117513">
      <w:bodyDiv w:val="1"/>
      <w:marLeft w:val="0"/>
      <w:marRight w:val="0"/>
      <w:marTop w:val="0"/>
      <w:marBottom w:val="0"/>
      <w:divBdr>
        <w:top w:val="none" w:sz="0" w:space="0" w:color="auto"/>
        <w:left w:val="none" w:sz="0" w:space="0" w:color="auto"/>
        <w:bottom w:val="none" w:sz="0" w:space="0" w:color="auto"/>
        <w:right w:val="none" w:sz="0" w:space="0" w:color="auto"/>
      </w:divBdr>
    </w:div>
    <w:div w:id="1967852024">
      <w:bodyDiv w:val="1"/>
      <w:marLeft w:val="0"/>
      <w:marRight w:val="0"/>
      <w:marTop w:val="0"/>
      <w:marBottom w:val="0"/>
      <w:divBdr>
        <w:top w:val="none" w:sz="0" w:space="0" w:color="auto"/>
        <w:left w:val="none" w:sz="0" w:space="0" w:color="auto"/>
        <w:bottom w:val="none" w:sz="0" w:space="0" w:color="auto"/>
        <w:right w:val="none" w:sz="0" w:space="0" w:color="auto"/>
      </w:divBdr>
      <w:divsChild>
        <w:div w:id="1333725494">
          <w:marLeft w:val="0"/>
          <w:marRight w:val="0"/>
          <w:marTop w:val="300"/>
          <w:marBottom w:val="300"/>
          <w:divBdr>
            <w:top w:val="none" w:sz="0" w:space="0" w:color="auto"/>
            <w:left w:val="none" w:sz="0" w:space="0" w:color="auto"/>
            <w:bottom w:val="none" w:sz="0" w:space="0" w:color="auto"/>
            <w:right w:val="none" w:sz="0" w:space="0" w:color="auto"/>
          </w:divBdr>
          <w:divsChild>
            <w:div w:id="2273070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24435932">
      <w:bodyDiv w:val="1"/>
      <w:marLeft w:val="0"/>
      <w:marRight w:val="0"/>
      <w:marTop w:val="0"/>
      <w:marBottom w:val="0"/>
      <w:divBdr>
        <w:top w:val="none" w:sz="0" w:space="0" w:color="auto"/>
        <w:left w:val="none" w:sz="0" w:space="0" w:color="auto"/>
        <w:bottom w:val="none" w:sz="0" w:space="0" w:color="auto"/>
        <w:right w:val="none" w:sz="0" w:space="0" w:color="auto"/>
      </w:divBdr>
    </w:div>
    <w:div w:id="2037655200">
      <w:bodyDiv w:val="1"/>
      <w:marLeft w:val="0"/>
      <w:marRight w:val="0"/>
      <w:marTop w:val="0"/>
      <w:marBottom w:val="0"/>
      <w:divBdr>
        <w:top w:val="none" w:sz="0" w:space="0" w:color="auto"/>
        <w:left w:val="none" w:sz="0" w:space="0" w:color="auto"/>
        <w:bottom w:val="none" w:sz="0" w:space="0" w:color="auto"/>
        <w:right w:val="none" w:sz="0" w:space="0" w:color="auto"/>
      </w:divBdr>
    </w:div>
    <w:div w:id="2082293271">
      <w:bodyDiv w:val="1"/>
      <w:marLeft w:val="0"/>
      <w:marRight w:val="0"/>
      <w:marTop w:val="0"/>
      <w:marBottom w:val="0"/>
      <w:divBdr>
        <w:top w:val="none" w:sz="0" w:space="0" w:color="auto"/>
        <w:left w:val="none" w:sz="0" w:space="0" w:color="auto"/>
        <w:bottom w:val="none" w:sz="0" w:space="0" w:color="auto"/>
        <w:right w:val="none" w:sz="0" w:space="0" w:color="auto"/>
      </w:divBdr>
      <w:divsChild>
        <w:div w:id="1122185365">
          <w:marLeft w:val="0"/>
          <w:marRight w:val="0"/>
          <w:marTop w:val="150"/>
          <w:marBottom w:val="150"/>
          <w:divBdr>
            <w:top w:val="none" w:sz="0" w:space="0" w:color="auto"/>
            <w:left w:val="none" w:sz="0" w:space="0" w:color="auto"/>
            <w:bottom w:val="none" w:sz="0" w:space="0" w:color="auto"/>
            <w:right w:val="none" w:sz="0" w:space="0" w:color="auto"/>
          </w:divBdr>
        </w:div>
        <w:div w:id="133460360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ecklist.deloitte.com" TargetMode="External"/><Relationship Id="rId18" Type="http://schemas.openxmlformats.org/officeDocument/2006/relationships/hyperlink" Target="https://dart.deloitte.com/USDART/home/publications/deloitte/heads-up/2025/fasb-asu-amends-software-costs-guidance" TargetMode="External"/><Relationship Id="rId26" Type="http://schemas.openxmlformats.org/officeDocument/2006/relationships/hyperlink" Target="https://dart.deloitte.com/USDART/home/codification/assets/32x/asc326-20-50" TargetMode="External"/><Relationship Id="rId39" Type="http://schemas.openxmlformats.org/officeDocument/2006/relationships/hyperlink" Target="https://dart.deloitte.com/USDART/home/codification/assets/asc350-40-30" TargetMode="External"/><Relationship Id="rId21" Type="http://schemas.openxmlformats.org/officeDocument/2006/relationships/hyperlink" Target="https://www.fasb.org/page/ShowPdf?path=ASU%202025-05.pdf&amp;title=Accounting%20Standards%20Update%202025-05%E2%80%94Financial%20Instruments%E2%80%94Credit%20Losses%20(Topic%20326):%20Measurement%20of" TargetMode="External"/><Relationship Id="rId34" Type="http://schemas.openxmlformats.org/officeDocument/2006/relationships/hyperlink" Target="https://dart.deloitte.com/USDART/home/codification/assets/asc350-50-15" TargetMode="External"/><Relationship Id="rId42" Type="http://schemas.openxmlformats.org/officeDocument/2006/relationships/hyperlink" Target="https://dart.deloitte.com/USDART/home/codification/assets/asc350-50-25" TargetMode="External"/><Relationship Id="rId47" Type="http://schemas.openxmlformats.org/officeDocument/2006/relationships/hyperlink" Target="https://dart.deloitte.com/USDART/home/codification/revenue/asc606-10-55" TargetMode="External"/><Relationship Id="rId50" Type="http://schemas.openxmlformats.org/officeDocument/2006/relationships/hyperlink" Target="https://dart.deloitte.com/USDART/home/codification/broad-transactions/asc815-10-15" TargetMode="External"/><Relationship Id="rId55" Type="http://schemas.openxmlformats.org/officeDocument/2006/relationships/hyperlink" Target="https://dart.deloitte.com/USDART/home/codification/broad-transactions/asc815-20-25"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asb.org/page/ShowPdf?path=ASU%202025-06.pdf&amp;title=Accounting%20Standards%20Update%202025-06%E2%80%94Intangibles%E2%80%94Goodwill%20and%20Other%E2%80%94Internal-Use%20Software%20(Subtopic%203" TargetMode="External"/><Relationship Id="rId29" Type="http://schemas.openxmlformats.org/officeDocument/2006/relationships/hyperlink" Target="https://dart.deloitte.com/USDART/home/codification/assets/asc350-40-05" TargetMode="External"/><Relationship Id="rId11" Type="http://schemas.openxmlformats.org/officeDocument/2006/relationships/image" Target="media/image1.png"/><Relationship Id="rId24" Type="http://schemas.openxmlformats.org/officeDocument/2006/relationships/hyperlink" Target="https://dart.deloitte.com/USDART/home/codification/assets/32x/asc326-20-55" TargetMode="External"/><Relationship Id="rId32" Type="http://schemas.openxmlformats.org/officeDocument/2006/relationships/hyperlink" Target="https://dart.deloitte.com/USDART/home/codification/assets/asc350-40-65" TargetMode="External"/><Relationship Id="rId37" Type="http://schemas.openxmlformats.org/officeDocument/2006/relationships/hyperlink" Target="https://dart.deloitte.com/USDART/home/codification/expenses/asc730-10-60" TargetMode="External"/><Relationship Id="rId40" Type="http://schemas.openxmlformats.org/officeDocument/2006/relationships/hyperlink" Target="https://dart.deloitte.com/USDART/home/codification/assets/asc350-40-35" TargetMode="External"/><Relationship Id="rId45" Type="http://schemas.openxmlformats.org/officeDocument/2006/relationships/hyperlink" Target="https://dart.deloitte.com/USDART/home/codification/assets/32x/asc321-10-15" TargetMode="External"/><Relationship Id="rId53" Type="http://schemas.openxmlformats.org/officeDocument/2006/relationships/hyperlink" Target="https://dart.deloitte.com/USDART/home/codification/broad-transactions/asc815-20-55"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www.fasb.org/page/ShowPdf?path=ASU%202025-07.pdf&amp;title=Accounting%20Standards%20Update%202025-07%E2%80%94Derivatives%20and%20Hedging%20(Topic%20815)%20and%20Revenue%20from%20Contracts%20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sb.org/page/ShowPdf?path=ASU%202025-05.pdf&amp;title=Accounting%20Standards%20Update%202025-05%E2%80%94Financial%20Instruments%E2%80%94Credit%20Losses%20(Topic%20326):%20Measurement%20of" TargetMode="External"/><Relationship Id="rId22" Type="http://schemas.openxmlformats.org/officeDocument/2006/relationships/hyperlink" Target="https://dart.deloitte.com/USDART/home/codification/assets/32x/asc326-10-65" TargetMode="External"/><Relationship Id="rId27" Type="http://schemas.openxmlformats.org/officeDocument/2006/relationships/hyperlink" Target="https://www.fasb.org/page/ShowPdf?path=ASU%202025-06.pdf&amp;title=Accounting%20Standards%20Update%202025-06%E2%80%94Intangibles%E2%80%94Goodwill%20and%20Other%E2%80%94Internal-Use%20Software%20(Subtopic%203" TargetMode="External"/><Relationship Id="rId30" Type="http://schemas.openxmlformats.org/officeDocument/2006/relationships/hyperlink" Target="https://dart.deloitte.com/USDART/home/codification/assets/asc350-40-15" TargetMode="External"/><Relationship Id="rId35" Type="http://schemas.openxmlformats.org/officeDocument/2006/relationships/hyperlink" Target="https://dart.deloitte.com/USDART/home/codification/assets/asc350-50-55" TargetMode="External"/><Relationship Id="rId43" Type="http://schemas.openxmlformats.org/officeDocument/2006/relationships/hyperlink" Target="https://dart.deloitte.com/USDART/home/codification/expenses/asc730-10-25" TargetMode="External"/><Relationship Id="rId48" Type="http://schemas.openxmlformats.org/officeDocument/2006/relationships/hyperlink" Target="https://dart.deloitte.com/USDART/home/codification/revenue/asc606-10-65" TargetMode="External"/><Relationship Id="rId56" Type="http://schemas.openxmlformats.org/officeDocument/2006/relationships/hyperlink" Target="http://www.deloitte.com/about" TargetMode="External"/><Relationship Id="rId8" Type="http://schemas.openxmlformats.org/officeDocument/2006/relationships/webSettings" Target="webSettings.xml"/><Relationship Id="rId51" Type="http://schemas.openxmlformats.org/officeDocument/2006/relationships/hyperlink" Target="https://dart.deloitte.com/USDART/home/codification/broad-transactions/asc815-10-55"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fasb.org/page/ShowPdf?path=ASU%202025-06.pdf&amp;title=Accounting%20Standards%20Update%202025-06%E2%80%94Intangibles%E2%80%94Goodwill%20and%20Other%E2%80%94Internal-Use%20Software%20(Subtopic%203" TargetMode="External"/><Relationship Id="rId25" Type="http://schemas.openxmlformats.org/officeDocument/2006/relationships/hyperlink" Target="https://dart.deloitte.com/USDART/home/codification/assets/32x/asc326-20-30" TargetMode="External"/><Relationship Id="rId33" Type="http://schemas.openxmlformats.org/officeDocument/2006/relationships/hyperlink" Target="https://dart.deloitte.com/USDART/home/codification/assets/asc350-50-05" TargetMode="External"/><Relationship Id="rId38" Type="http://schemas.openxmlformats.org/officeDocument/2006/relationships/hyperlink" Target="https://dart.deloitte.com/USDART/home/codification/assets/asc350-40-25" TargetMode="External"/><Relationship Id="rId46" Type="http://schemas.openxmlformats.org/officeDocument/2006/relationships/hyperlink" Target="https://dart.deloitte.com/USDART/home/codification/revenue/asc606-10-15" TargetMode="External"/><Relationship Id="rId59" Type="http://schemas.openxmlformats.org/officeDocument/2006/relationships/fontTable" Target="fontTable.xml"/><Relationship Id="rId20" Type="http://schemas.openxmlformats.org/officeDocument/2006/relationships/hyperlink" Target="https://dart.deloitte.com/USDART/home/publications/deloitte/heads-up/2025/fasb-derivatives-scope-refinements-share-based-payments" TargetMode="External"/><Relationship Id="rId41" Type="http://schemas.openxmlformats.org/officeDocument/2006/relationships/hyperlink" Target="https://dart.deloitte.com/USDART/home/codification/assets/asc350-40-50" TargetMode="External"/><Relationship Id="rId54" Type="http://schemas.openxmlformats.org/officeDocument/2006/relationships/hyperlink" Target="https://dart.deloitte.com/USDART/home/codification/broad-transactions/asc815-10-2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art.deloitte.com/USDART/home/publications/deloitte/heads-up/2025/fasb-amends-guidance-on-the-measurement-of-credit-losses-for-accounts-receivable" TargetMode="External"/><Relationship Id="rId23" Type="http://schemas.openxmlformats.org/officeDocument/2006/relationships/hyperlink" Target="https://dart.deloitte.com/USDART/home/codification/assets/32x/asc326-20-20" TargetMode="External"/><Relationship Id="rId28" Type="http://schemas.openxmlformats.org/officeDocument/2006/relationships/hyperlink" Target="https://dart.deloitte.com/USDART/home/codification/assets/asc350-30-15" TargetMode="External"/><Relationship Id="rId36" Type="http://schemas.openxmlformats.org/officeDocument/2006/relationships/hyperlink" Target="https://dart.deloitte.com/USDART/home/codification/expenses/asc720-45-55" TargetMode="External"/><Relationship Id="rId49" Type="http://schemas.openxmlformats.org/officeDocument/2006/relationships/hyperlink" Target="https://dart.deloitte.com/USDART/home/codification/revenue/asc610-20-15"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dart.deloitte.com/USDART/home/codification/assets/asc350-40-55" TargetMode="External"/><Relationship Id="rId44" Type="http://schemas.openxmlformats.org/officeDocument/2006/relationships/hyperlink" Target="https://www.fasb.org/page/ShowPdf?path=ASU%202025-07.pdf&amp;title=Accounting%20Standards%20Update%202025-07%E2%80%94Derivatives%20and%20Hedging%20(Topic%20815)%20and%20Revenue%20from%20Contracts%20w" TargetMode="External"/><Relationship Id="rId52" Type="http://schemas.openxmlformats.org/officeDocument/2006/relationships/hyperlink" Target="https://dart.deloitte.com/USDART/home/codification/broad-transactions/asc815-10-65" TargetMode="External"/><Relationship Id="rId60" Type="http://schemas.openxmlformats.org/officeDocument/2006/relationships/theme" Target="theme/theme1.xml"/></Relationships>
</file>

<file path=word/theme/theme1.xml><?xml version="1.0" encoding="utf-8"?>
<a:theme xmlns:a="http://schemas.openxmlformats.org/drawingml/2006/main" name="1_Deloitte_US_Brand">
  <a:themeElements>
    <a:clrScheme name="Deloitte colors">
      <a:dk1>
        <a:sysClr val="windowText" lastClr="000000"/>
      </a:dk1>
      <a:lt1>
        <a:sysClr val="window" lastClr="FFFFFF"/>
      </a:lt1>
      <a:dk2>
        <a:srgbClr val="53565A"/>
      </a:dk2>
      <a:lt2>
        <a:srgbClr val="D0D0CE"/>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53565A"/>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1_Deloitte_US_Brand" id="{82EDE4DA-E974-4900-A9A9-37819C498CD8}" vid="{20E7B3A3-86E8-4E82-A38B-4AA3E2C07C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a96f739-8489-40bf-b727-2b1ec73fffa0">At PMD review</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C718A6084D9B448F89EF9E1327C7A2" ma:contentTypeVersion="4" ma:contentTypeDescription="Create a new document." ma:contentTypeScope="" ma:versionID="2e6538000c2f28b73b50664261fe3221">
  <xsd:schema xmlns:xsd="http://www.w3.org/2001/XMLSchema" xmlns:xs="http://www.w3.org/2001/XMLSchema" xmlns:p="http://schemas.microsoft.com/office/2006/metadata/properties" xmlns:ns2="3a96f739-8489-40bf-b727-2b1ec73fffa0" targetNamespace="http://schemas.microsoft.com/office/2006/metadata/properties" ma:root="true" ma:fieldsID="0434a7422c01c5d2c4f385047ab33c49" ns2:_="">
    <xsd:import namespace="3a96f739-8489-40bf-b727-2b1ec73fff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6f739-8489-40bf-b727-2b1ec73ff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tatus" ma:index="11" nillable="true" ma:displayName="Status" ma:format="Dropdown" ma:internalName="Status">
      <xsd:simpleType>
        <xsd:restriction base="dms:Choice">
          <xsd:enumeration value="In prep"/>
          <xsd:enumeration value="At PMD review"/>
          <xsd:enumeration value="Through PMD review"/>
          <xsd:enumeration value="With editorial"/>
          <xsd:enumeration value="Comp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47B66-155F-40D6-AFF6-219ECC412983}">
  <ds:schemaRefs>
    <ds:schemaRef ds:uri="http://www.w3.org/XML/1998/namespace"/>
    <ds:schemaRef ds:uri="3a96f739-8489-40bf-b727-2b1ec73fffa0"/>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E89AADD-04C6-4B68-8849-ACAAD5929853}">
  <ds:schemaRefs>
    <ds:schemaRef ds:uri="http://schemas.microsoft.com/sharepoint/v3/contenttype/forms"/>
  </ds:schemaRefs>
</ds:datastoreItem>
</file>

<file path=customXml/itemProps3.xml><?xml version="1.0" encoding="utf-8"?>
<ds:datastoreItem xmlns:ds="http://schemas.openxmlformats.org/officeDocument/2006/customXml" ds:itemID="{8AE1DDEE-DB1B-456B-BD8C-B51E33375C4B}">
  <ds:schemaRefs>
    <ds:schemaRef ds:uri="http://schemas.openxmlformats.org/officeDocument/2006/bibliography"/>
  </ds:schemaRefs>
</ds:datastoreItem>
</file>

<file path=customXml/itemProps4.xml><?xml version="1.0" encoding="utf-8"?>
<ds:datastoreItem xmlns:ds="http://schemas.openxmlformats.org/officeDocument/2006/customXml" ds:itemID="{E7616901-6EFD-4B7B-8830-5933C1F66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6f739-8489-40bf-b727-2b1ec73ff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7</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17668</CharactersWithSpaces>
  <SharedDoc>false</SharedDoc>
  <HLinks>
    <vt:vector size="66" baseType="variant">
      <vt:variant>
        <vt:i4>4653131</vt:i4>
      </vt:variant>
      <vt:variant>
        <vt:i4>30</vt:i4>
      </vt:variant>
      <vt:variant>
        <vt:i4>0</vt:i4>
      </vt:variant>
      <vt:variant>
        <vt:i4>5</vt:i4>
      </vt:variant>
      <vt:variant>
        <vt:lpwstr>http://www.deloitte.com/about</vt:lpwstr>
      </vt:variant>
      <vt:variant>
        <vt:lpwstr/>
      </vt:variant>
      <vt:variant>
        <vt:i4>7536675</vt:i4>
      </vt:variant>
      <vt:variant>
        <vt:i4>27</vt:i4>
      </vt:variant>
      <vt:variant>
        <vt:i4>0</vt:i4>
      </vt:variant>
      <vt:variant>
        <vt:i4>5</vt:i4>
      </vt:variant>
      <vt:variant>
        <vt:lpwstr>https://dart.deloitte.com/USDART/home/codification/assets/32x/asc326-20</vt:lpwstr>
      </vt:variant>
      <vt:variant>
        <vt:lpwstr>918ce0ba-3de6-11e6-8541-370a0adafc82</vt:lpwstr>
      </vt:variant>
      <vt:variant>
        <vt:i4>2621566</vt:i4>
      </vt:variant>
      <vt:variant>
        <vt:i4>24</vt:i4>
      </vt:variant>
      <vt:variant>
        <vt:i4>0</vt:i4>
      </vt:variant>
      <vt:variant>
        <vt:i4>5</vt:i4>
      </vt:variant>
      <vt:variant>
        <vt:lpwstr>https://dart.deloitte.com/USDART/home/codification/assets/32x/asc326-20</vt:lpwstr>
      </vt:variant>
      <vt:variant>
        <vt:lpwstr>3ffb8834-3de6-11e6-8541-4b82a260bf5c</vt:lpwstr>
      </vt:variant>
      <vt:variant>
        <vt:i4>4849757</vt:i4>
      </vt:variant>
      <vt:variant>
        <vt:i4>21</vt:i4>
      </vt:variant>
      <vt:variant>
        <vt:i4>0</vt:i4>
      </vt:variant>
      <vt:variant>
        <vt:i4>5</vt:i4>
      </vt:variant>
      <vt:variant>
        <vt:lpwstr>https://dart.deloitte.com/USDART/home/codification/assets/32x/asc326?combine</vt:lpwstr>
      </vt:variant>
      <vt:variant>
        <vt:lpwstr>6ffac8a8-3dda-11e6-8541-7bd3bbe9a809</vt:lpwstr>
      </vt:variant>
      <vt:variant>
        <vt:i4>2818080</vt:i4>
      </vt:variant>
      <vt:variant>
        <vt:i4>18</vt:i4>
      </vt:variant>
      <vt:variant>
        <vt:i4>0</vt:i4>
      </vt:variant>
      <vt:variant>
        <vt:i4>5</vt:i4>
      </vt:variant>
      <vt:variant>
        <vt:lpwstr>https://dart.deloitte.com/USDART/home/codification/assets/32x/asc326-20</vt:lpwstr>
      </vt:variant>
      <vt:variant>
        <vt:lpwstr>56f3332f-3de6-11e6-8541-c770e9f58710</vt:lpwstr>
      </vt:variant>
      <vt:variant>
        <vt:i4>2490415</vt:i4>
      </vt:variant>
      <vt:variant>
        <vt:i4>15</vt:i4>
      </vt:variant>
      <vt:variant>
        <vt:i4>0</vt:i4>
      </vt:variant>
      <vt:variant>
        <vt:i4>5</vt:i4>
      </vt:variant>
      <vt:variant>
        <vt:lpwstr>https://dart.deloitte.com/USDART/home/codification/assets/32x/asc326-20</vt:lpwstr>
      </vt:variant>
      <vt:variant>
        <vt:lpwstr>53d0e470-3de6-11e6-8541-b3556daf9e97</vt:lpwstr>
      </vt:variant>
      <vt:variant>
        <vt:i4>1572894</vt:i4>
      </vt:variant>
      <vt:variant>
        <vt:i4>12</vt:i4>
      </vt:variant>
      <vt:variant>
        <vt:i4>0</vt:i4>
      </vt:variant>
      <vt:variant>
        <vt:i4>5</vt:i4>
      </vt:variant>
      <vt:variant>
        <vt:lpwstr>https://www.fasb.org/page/ShowPdf?path=ASU%202025-05.pdf&amp;title=Accounting%20Standards%20Update%202025-05%E2%80%94Financial%20Instruments%E2%80%94Credit%20Losses%20(Topic%20326):%20Measurement%20of</vt:lpwstr>
      </vt:variant>
      <vt:variant>
        <vt:lpwstr/>
      </vt:variant>
      <vt:variant>
        <vt:i4>7405677</vt:i4>
      </vt:variant>
      <vt:variant>
        <vt:i4>9</vt:i4>
      </vt:variant>
      <vt:variant>
        <vt:i4>0</vt:i4>
      </vt:variant>
      <vt:variant>
        <vt:i4>5</vt:i4>
      </vt:variant>
      <vt:variant>
        <vt:lpwstr>https://dart.deloitte.com/USDART/home/publications/deloitte/heads-up/2025/fasb-amends-guidance-on-the-measurement-of-credit-losses-for-accounts-receivable</vt:lpwstr>
      </vt:variant>
      <vt:variant>
        <vt:lpwstr/>
      </vt:variant>
      <vt:variant>
        <vt:i4>4128828</vt:i4>
      </vt:variant>
      <vt:variant>
        <vt:i4>6</vt:i4>
      </vt:variant>
      <vt:variant>
        <vt:i4>0</vt:i4>
      </vt:variant>
      <vt:variant>
        <vt:i4>5</vt:i4>
      </vt:variant>
      <vt:variant>
        <vt:lpwstr>https://fasb.org/Page/Document?pdf=ASU%202025-05.pdf&amp;title=Accounting%20Standards%20Update%202025-05%E2%80%94Financial%20Instruments%E2%80%94Credit%20Losses%20(Topic%20326):%20Measurement%20of%20Credit%20Losses%20for%20Accounts%20Receivable%20and%20Contract%20Assets%20for%20Private%20Companies%20and%20Certain%20Not-for-Profit%20Entities%20(PCC)</vt:lpwstr>
      </vt:variant>
      <vt:variant>
        <vt:lpwstr/>
      </vt:variant>
      <vt:variant>
        <vt:i4>1572894</vt:i4>
      </vt:variant>
      <vt:variant>
        <vt:i4>3</vt:i4>
      </vt:variant>
      <vt:variant>
        <vt:i4>0</vt:i4>
      </vt:variant>
      <vt:variant>
        <vt:i4>5</vt:i4>
      </vt:variant>
      <vt:variant>
        <vt:lpwstr>https://www.fasb.org/page/ShowPdf?path=ASU%202025-05.pdf&amp;title=Accounting%20Standards%20Update%202025-05%E2%80%94Financial%20Instruments%E2%80%94Credit%20Losses%20(Topic%20326):%20Measurement%20of</vt:lpwstr>
      </vt:variant>
      <vt:variant>
        <vt:lpwstr/>
      </vt:variant>
      <vt:variant>
        <vt:i4>4063332</vt:i4>
      </vt:variant>
      <vt:variant>
        <vt:i4>0</vt:i4>
      </vt:variant>
      <vt:variant>
        <vt:i4>0</vt:i4>
      </vt:variant>
      <vt:variant>
        <vt:i4>5</vt:i4>
      </vt:variant>
      <vt:variant>
        <vt:lpwstr>https://checklist.deloitte.com/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Ishaq Pitt (Open)</dc:creator>
  <cp:keywords/>
  <dc:description>10-10-25</dc:description>
  <cp:lastModifiedBy>Gravel, Tara</cp:lastModifiedBy>
  <cp:revision>5</cp:revision>
  <cp:lastPrinted>2025-09-30T16:39:00Z</cp:lastPrinted>
  <dcterms:created xsi:type="dcterms:W3CDTF">2025-10-01T19:09:00Z</dcterms:created>
  <dcterms:modified xsi:type="dcterms:W3CDTF">2025-10-01T19:30:00Z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2021-12-16T13:12:29Z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54ad4e5c-e6e2-4aca-aa8c-4b65c66ded3d</vt:lpwstr>
  </property>
  <property fmtid="{D5CDD505-2E9C-101B-9397-08002B2CF9AE}" pid="8" name="MSIP_Label_ea60d57e-af5b-4752-ac57-3e4f28ca11dc_ContentBits">
    <vt:lpwstr>0</vt:lpwstr>
  </property>
  <property fmtid="{D5CDD505-2E9C-101B-9397-08002B2CF9AE}" pid="9" name="ContentTypeId">
    <vt:lpwstr>0x010100F2C718A6084D9B448F89EF9E1327C7A2</vt:lpwstr>
  </property>
  <property fmtid="{D5CDD505-2E9C-101B-9397-08002B2CF9AE}" pid="10" name="docLang">
    <vt:lpwstr>en</vt:lpwstr>
  </property>
</Properties>
</file>