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983BF" w14:textId="25214BA2" w:rsidR="007E233F" w:rsidRPr="00493116" w:rsidRDefault="00E91B27" w:rsidP="00E90D62">
      <w:pPr>
        <w:tabs>
          <w:tab w:val="left" w:pos="270"/>
          <w:tab w:val="left" w:pos="3000"/>
        </w:tabs>
        <w:rPr>
          <w:rFonts w:ascii="Calibri Light" w:hAnsi="Calibri Light" w:cs="Calibri Light"/>
          <w:b/>
          <w:sz w:val="56"/>
          <w:szCs w:val="56"/>
        </w:rPr>
      </w:pPr>
      <w:r w:rsidRPr="00493116">
        <w:rPr>
          <w:rFonts w:ascii="Calibri Light" w:hAnsi="Calibri Light" w:cs="Calibri Light"/>
          <w:b/>
          <w:noProof/>
        </w:rPr>
        <w:drawing>
          <wp:anchor distT="0" distB="91440" distL="114300" distR="114300" simplePos="0" relativeHeight="251673600" behindDoc="1" locked="0" layoutInCell="1" allowOverlap="1" wp14:anchorId="6AB0489C" wp14:editId="01A33424">
            <wp:simplePos x="0" y="0"/>
            <wp:positionH relativeFrom="column">
              <wp:posOffset>9525</wp:posOffset>
            </wp:positionH>
            <wp:positionV relativeFrom="paragraph">
              <wp:posOffset>0</wp:posOffset>
            </wp:positionV>
            <wp:extent cx="5810250" cy="58102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10250" cy="581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C3" w:rsidRPr="00493116">
        <w:rPr>
          <w:rFonts w:ascii="Calibri Light" w:hAnsi="Calibri Light" w:cs="Calibri Light"/>
          <w:noProof/>
        </w:rPr>
        <w:drawing>
          <wp:anchor distT="0" distB="0" distL="114300" distR="114300" simplePos="0" relativeHeight="251668480" behindDoc="0" locked="1" layoutInCell="1" allowOverlap="1" wp14:anchorId="0C19C85A" wp14:editId="44598805">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493116">
        <w:rPr>
          <w:rFonts w:ascii="Calibri Light" w:hAnsi="Calibri Light" w:cs="Calibri Light"/>
          <w:b/>
          <w:sz w:val="56"/>
          <w:szCs w:val="56"/>
        </w:rPr>
        <w:t>Use of This Quarterly Update</w:t>
      </w:r>
    </w:p>
    <w:p w14:paraId="03976307" w14:textId="6595CC71" w:rsidR="00493116" w:rsidRPr="00C72910" w:rsidRDefault="00493116" w:rsidP="00493116">
      <w:pPr>
        <w:pStyle w:val="PGADateSubtitle"/>
        <w:spacing w:line="440" w:lineRule="exact"/>
        <w:rPr>
          <w:rFonts w:ascii="Calibri Light" w:hAnsi="Calibri Light" w:cs="Calibri Light"/>
          <w:sz w:val="56"/>
          <w:szCs w:val="48"/>
        </w:rPr>
      </w:pPr>
      <w:r w:rsidRPr="00493116">
        <w:rPr>
          <w:rFonts w:ascii="Calibri Light" w:hAnsi="Calibri Light" w:cs="Calibri Light"/>
          <w:sz w:val="56"/>
          <w:szCs w:val="48"/>
        </w:rPr>
        <w:t xml:space="preserve">U.S. GAAP Checklist — </w:t>
      </w:r>
      <w:r w:rsidRPr="00493116">
        <w:rPr>
          <w:rFonts w:ascii="Calibri Light" w:hAnsi="Calibri Light" w:cs="Calibri Light"/>
          <w:sz w:val="56"/>
          <w:szCs w:val="48"/>
        </w:rPr>
        <w:br/>
        <w:t xml:space="preserve">Quarterly Update: </w:t>
      </w:r>
      <w:r w:rsidR="00CD5740">
        <w:rPr>
          <w:rFonts w:ascii="Calibri Light" w:hAnsi="Calibri Light" w:cs="Calibri Light"/>
          <w:sz w:val="56"/>
          <w:szCs w:val="48"/>
        </w:rPr>
        <w:t xml:space="preserve">Fourth </w:t>
      </w:r>
      <w:r w:rsidRPr="00493116">
        <w:rPr>
          <w:rFonts w:ascii="Calibri Light" w:hAnsi="Calibri Light" w:cs="Calibri Light"/>
          <w:sz w:val="56"/>
          <w:szCs w:val="48"/>
        </w:rPr>
        <w:t>Quarter</w:t>
      </w:r>
    </w:p>
    <w:p w14:paraId="06B2192B" w14:textId="584AC155" w:rsidR="00493116" w:rsidRPr="00493116" w:rsidRDefault="00CD5740" w:rsidP="00493116">
      <w:pPr>
        <w:pStyle w:val="PGADateSubtitle"/>
        <w:spacing w:before="360"/>
        <w:rPr>
          <w:rFonts w:ascii="Calibri Light" w:hAnsi="Calibri Light" w:cs="Calibri Light"/>
          <w:szCs w:val="32"/>
        </w:rPr>
      </w:pPr>
      <w:r>
        <w:rPr>
          <w:rFonts w:ascii="Calibri Light" w:hAnsi="Calibri Light" w:cs="Calibri Light"/>
          <w:szCs w:val="32"/>
        </w:rPr>
        <w:t>December</w:t>
      </w:r>
      <w:r w:rsidR="00493116" w:rsidRPr="00493116">
        <w:rPr>
          <w:rFonts w:ascii="Calibri Light" w:hAnsi="Calibri Light" w:cs="Calibri Light"/>
          <w:szCs w:val="32"/>
        </w:rPr>
        <w:t xml:space="preserve"> 202</w:t>
      </w:r>
      <w:r w:rsidR="009729C8">
        <w:rPr>
          <w:rFonts w:ascii="Calibri Light" w:hAnsi="Calibri Light" w:cs="Calibri Light"/>
          <w:szCs w:val="32"/>
        </w:rPr>
        <w:t>1</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6B891164" w:rsidR="0035100C" w:rsidRPr="00493116" w:rsidRDefault="00094789" w:rsidP="00C72910">
      <w:pPr>
        <w:rPr>
          <w:rFonts w:ascii="Calibri Light" w:hAnsi="Calibri Light" w:cs="Calibri Light"/>
          <w:color w:val="000000" w:themeColor="text1"/>
        </w:rPr>
      </w:pPr>
      <w:r w:rsidRPr="00493116">
        <w:rPr>
          <w:rFonts w:ascii="Calibri Light" w:eastAsiaTheme="minorHAnsi" w:hAnsi="Calibri Light" w:cs="Calibri Light"/>
        </w:rPr>
        <w:lastRenderedPageBreak/>
        <w:t xml:space="preserve">The </w:t>
      </w:r>
      <w:r w:rsidR="004C23AC" w:rsidRPr="00493116">
        <w:rPr>
          <w:rFonts w:ascii="Calibri Light" w:eastAsiaTheme="minorHAnsi" w:hAnsi="Calibri Light" w:cs="Calibri Light"/>
        </w:rPr>
        <w:t xml:space="preserve">content of the </w:t>
      </w:r>
      <w:r w:rsidRPr="00493116">
        <w:rPr>
          <w:rFonts w:ascii="Calibri Light" w:eastAsiaTheme="minorHAnsi" w:hAnsi="Calibri Light" w:cs="Calibri Light"/>
        </w:rPr>
        <w:t>U.S. GAAP Checklist has been revised to reflect update</w:t>
      </w:r>
      <w:r w:rsidR="004F1F71" w:rsidRPr="00493116">
        <w:rPr>
          <w:rFonts w:ascii="Calibri Light" w:eastAsiaTheme="minorHAnsi" w:hAnsi="Calibri Light" w:cs="Calibri Light"/>
        </w:rPr>
        <w:t>s to</w:t>
      </w:r>
      <w:r w:rsidR="00536F9B" w:rsidRPr="00493116">
        <w:rPr>
          <w:rFonts w:ascii="Calibri Light" w:eastAsiaTheme="minorHAnsi" w:hAnsi="Calibri Light" w:cs="Calibri Light"/>
        </w:rPr>
        <w:t xml:space="preserve"> </w:t>
      </w:r>
      <w:r w:rsidRPr="00493116">
        <w:rPr>
          <w:rFonts w:ascii="Calibri Light" w:eastAsiaTheme="minorHAnsi" w:hAnsi="Calibri Light" w:cs="Calibri Light"/>
        </w:rPr>
        <w:t>professional pronouncements from</w:t>
      </w:r>
      <w:r w:rsidR="0061355B" w:rsidRPr="00493116">
        <w:rPr>
          <w:rFonts w:ascii="Calibri Light" w:eastAsiaTheme="minorHAnsi" w:hAnsi="Calibri Light" w:cs="Calibri Light"/>
        </w:rPr>
        <w:t xml:space="preserve"> </w:t>
      </w:r>
      <w:r w:rsidR="00CD5740">
        <w:rPr>
          <w:rFonts w:ascii="Calibri Light" w:eastAsiaTheme="minorHAnsi" w:hAnsi="Calibri Light" w:cs="Calibri Light"/>
        </w:rPr>
        <w:t>October</w:t>
      </w:r>
      <w:r w:rsidR="00E42D77" w:rsidRPr="00493116">
        <w:rPr>
          <w:rFonts w:ascii="Calibri Light" w:eastAsiaTheme="minorHAnsi" w:hAnsi="Calibri Light" w:cs="Calibri Light"/>
        </w:rPr>
        <w:t xml:space="preserve"> </w:t>
      </w:r>
      <w:r w:rsidR="00FE16FB" w:rsidRPr="00493116">
        <w:rPr>
          <w:rFonts w:ascii="Calibri Light" w:eastAsiaTheme="minorHAnsi" w:hAnsi="Calibri Light" w:cs="Calibri Light"/>
        </w:rPr>
        <w:t>1</w:t>
      </w:r>
      <w:r w:rsidR="00D65780" w:rsidRPr="00493116">
        <w:rPr>
          <w:rFonts w:ascii="Calibri Light" w:eastAsiaTheme="minorHAnsi" w:hAnsi="Calibri Light" w:cs="Calibri Light"/>
        </w:rPr>
        <w:t>, 20</w:t>
      </w:r>
      <w:r w:rsidR="004C23AC" w:rsidRPr="00493116">
        <w:rPr>
          <w:rFonts w:ascii="Calibri Light" w:eastAsiaTheme="minorHAnsi" w:hAnsi="Calibri Light" w:cs="Calibri Light"/>
        </w:rPr>
        <w:t>2</w:t>
      </w:r>
      <w:r w:rsidR="009729C8">
        <w:rPr>
          <w:rFonts w:ascii="Calibri Light" w:eastAsiaTheme="minorHAnsi" w:hAnsi="Calibri Light" w:cs="Calibri Light"/>
        </w:rPr>
        <w:t>1</w:t>
      </w:r>
      <w:r w:rsidR="00A07449" w:rsidRPr="00493116">
        <w:rPr>
          <w:rFonts w:ascii="Calibri Light" w:eastAsiaTheme="minorHAnsi" w:hAnsi="Calibri Light" w:cs="Calibri Light"/>
        </w:rPr>
        <w:t>,</w:t>
      </w:r>
      <w:r w:rsidR="00372536" w:rsidRPr="00493116">
        <w:rPr>
          <w:rFonts w:ascii="Calibri Light" w:eastAsiaTheme="minorHAnsi" w:hAnsi="Calibri Light" w:cs="Calibri Light"/>
        </w:rPr>
        <w:t xml:space="preserve"> </w:t>
      </w:r>
      <w:r w:rsidRPr="00493116">
        <w:rPr>
          <w:rFonts w:ascii="Calibri Light" w:eastAsiaTheme="minorHAnsi" w:hAnsi="Calibri Light" w:cs="Calibri Light"/>
        </w:rPr>
        <w:t xml:space="preserve">through </w:t>
      </w:r>
      <w:r w:rsidR="00CD5740">
        <w:rPr>
          <w:rFonts w:ascii="Calibri Light" w:eastAsiaTheme="minorHAnsi" w:hAnsi="Calibri Light" w:cs="Calibri Light"/>
        </w:rPr>
        <w:t>December</w:t>
      </w:r>
      <w:r w:rsidR="00E42D77" w:rsidRPr="00493116">
        <w:rPr>
          <w:rFonts w:ascii="Calibri Light" w:eastAsiaTheme="minorHAnsi" w:hAnsi="Calibri Light" w:cs="Calibri Light"/>
        </w:rPr>
        <w:t xml:space="preserve"> 3</w:t>
      </w:r>
      <w:r w:rsidR="00CD5740">
        <w:rPr>
          <w:rFonts w:ascii="Calibri Light" w:eastAsiaTheme="minorHAnsi" w:hAnsi="Calibri Light" w:cs="Calibri Light"/>
        </w:rPr>
        <w:t>1</w:t>
      </w:r>
      <w:r w:rsidR="009957D4" w:rsidRPr="00493116">
        <w:rPr>
          <w:rFonts w:ascii="Calibri Light" w:eastAsiaTheme="minorHAnsi" w:hAnsi="Calibri Light" w:cs="Calibri Light"/>
        </w:rPr>
        <w:t>, 20</w:t>
      </w:r>
      <w:r w:rsidR="004C23AC" w:rsidRPr="00493116">
        <w:rPr>
          <w:rFonts w:ascii="Calibri Light" w:eastAsiaTheme="minorHAnsi" w:hAnsi="Calibri Light" w:cs="Calibri Light"/>
        </w:rPr>
        <w:t>2</w:t>
      </w:r>
      <w:r w:rsidR="009729C8">
        <w:rPr>
          <w:rFonts w:ascii="Calibri Light" w:eastAsiaTheme="minorHAnsi" w:hAnsi="Calibri Light" w:cs="Calibri Light"/>
        </w:rPr>
        <w:t>1</w:t>
      </w:r>
      <w:r w:rsidRPr="00493116">
        <w:rPr>
          <w:rFonts w:ascii="Calibri Light" w:eastAsiaTheme="minorHAnsi" w:hAnsi="Calibri Light" w:cs="Calibri Light"/>
        </w:rPr>
        <w:t xml:space="preserve">. </w:t>
      </w:r>
      <w:r w:rsidR="00C612CD" w:rsidRPr="00493116">
        <w:rPr>
          <w:rFonts w:ascii="Calibri Light" w:eastAsiaTheme="minorHAnsi" w:hAnsi="Calibri Light" w:cs="Calibri Light"/>
        </w:rPr>
        <w:t xml:space="preserve">This supplement </w:t>
      </w:r>
      <w:r w:rsidR="00D57D3C" w:rsidRPr="00493116">
        <w:rPr>
          <w:rFonts w:ascii="Calibri Light" w:eastAsiaTheme="minorHAnsi" w:hAnsi="Calibri Light" w:cs="Calibri Light"/>
        </w:rPr>
        <w:t xml:space="preserve">describes </w:t>
      </w:r>
      <w:r w:rsidR="0061355B" w:rsidRPr="00493116">
        <w:rPr>
          <w:rFonts w:ascii="Calibri Light" w:eastAsiaTheme="minorHAnsi" w:hAnsi="Calibri Light" w:cs="Calibri Light"/>
        </w:rPr>
        <w:t xml:space="preserve">the </w:t>
      </w:r>
      <w:r w:rsidRPr="00493116">
        <w:rPr>
          <w:rFonts w:ascii="Calibri Light" w:eastAsiaTheme="minorHAnsi" w:hAnsi="Calibri Light" w:cs="Calibri Light"/>
        </w:rPr>
        <w:t>changes</w:t>
      </w:r>
      <w:r w:rsidR="00C612CD" w:rsidRPr="00493116">
        <w:rPr>
          <w:rFonts w:ascii="Calibri Light" w:eastAsiaTheme="minorHAnsi" w:hAnsi="Calibri Light" w:cs="Calibri Light"/>
        </w:rPr>
        <w:t xml:space="preserve"> to the</w:t>
      </w:r>
      <w:r w:rsidRPr="00493116">
        <w:rPr>
          <w:rFonts w:ascii="Calibri Light" w:eastAsiaTheme="minorHAnsi" w:hAnsi="Calibri Light" w:cs="Calibri Light"/>
        </w:rPr>
        <w:t xml:space="preserve"> FASB Accounting Standards Codification (</w:t>
      </w:r>
      <w:r w:rsidR="00D57D3C" w:rsidRPr="00493116">
        <w:rPr>
          <w:rFonts w:ascii="Calibri Light" w:eastAsiaTheme="minorHAnsi" w:hAnsi="Calibri Light" w:cs="Calibri Light"/>
        </w:rPr>
        <w:t xml:space="preserve">the </w:t>
      </w:r>
      <w:r w:rsidRPr="00493116">
        <w:rPr>
          <w:rFonts w:ascii="Calibri Light" w:eastAsiaTheme="minorHAnsi" w:hAnsi="Calibri Light" w:cs="Calibri Light"/>
        </w:rPr>
        <w:t>“Codification”)</w:t>
      </w:r>
      <w:r w:rsidR="00C612CD" w:rsidRPr="00493116">
        <w:rPr>
          <w:rFonts w:ascii="Calibri Light" w:eastAsiaTheme="minorHAnsi" w:hAnsi="Calibri Light" w:cs="Calibri Light"/>
        </w:rPr>
        <w:t xml:space="preserve"> </w:t>
      </w:r>
      <w:r w:rsidRPr="00493116">
        <w:rPr>
          <w:rFonts w:ascii="Calibri Light" w:eastAsiaTheme="minorHAnsi" w:hAnsi="Calibri Light" w:cs="Calibri Light"/>
        </w:rPr>
        <w:t>issued as Accounting Standards Updates (ASUs)</w:t>
      </w:r>
      <w:r w:rsidR="0061355B" w:rsidRPr="00493116">
        <w:rPr>
          <w:rFonts w:ascii="Calibri Light" w:eastAsiaTheme="minorHAnsi" w:hAnsi="Calibri Light" w:cs="Calibri Light"/>
        </w:rPr>
        <w:t xml:space="preserve"> for the most </w:t>
      </w:r>
      <w:r w:rsidR="000970EA" w:rsidRPr="00493116">
        <w:rPr>
          <w:rFonts w:ascii="Calibri Light" w:eastAsiaTheme="minorHAnsi" w:hAnsi="Calibri Light" w:cs="Calibri Light"/>
        </w:rPr>
        <w:t>r</w:t>
      </w:r>
      <w:r w:rsidR="0061355B" w:rsidRPr="00493116">
        <w:rPr>
          <w:rFonts w:ascii="Calibri Light" w:eastAsiaTheme="minorHAnsi" w:hAnsi="Calibri Light" w:cs="Calibri Light"/>
        </w:rPr>
        <w:t xml:space="preserve">ecent </w:t>
      </w:r>
      <w:r w:rsidR="00590EF2" w:rsidRPr="00493116">
        <w:rPr>
          <w:rFonts w:ascii="Calibri Light" w:eastAsiaTheme="minorHAnsi" w:hAnsi="Calibri Light" w:cs="Calibri Light"/>
        </w:rPr>
        <w:t>quarter</w:t>
      </w:r>
      <w:r w:rsidR="00C45DCF" w:rsidRPr="00493116">
        <w:rPr>
          <w:rFonts w:ascii="Calibri Light" w:eastAsiaTheme="minorHAnsi" w:hAnsi="Calibri Light" w:cs="Calibri Light"/>
        </w:rPr>
        <w:t xml:space="preserve"> ended</w:t>
      </w:r>
      <w:r w:rsidR="001F587B" w:rsidRPr="00493116">
        <w:rPr>
          <w:rFonts w:ascii="Calibri Light" w:eastAsiaTheme="minorHAnsi" w:hAnsi="Calibri Light" w:cs="Calibri Light"/>
        </w:rPr>
        <w:t>.</w:t>
      </w:r>
    </w:p>
    <w:p w14:paraId="1CA8F567" w14:textId="6BAB6B26" w:rsidR="005C729F" w:rsidRPr="00F176F9" w:rsidRDefault="00C72910" w:rsidP="00C72910">
      <w:pPr>
        <w:pStyle w:val="PAH2"/>
        <w:outlineLvl w:val="0"/>
        <w:rPr>
          <w:rFonts w:ascii="Calibri Light" w:hAnsi="Calibri Light" w:cs="Calibri Light"/>
          <w:b/>
          <w:bCs w:val="0"/>
          <w:i w:val="0"/>
          <w:color w:val="auto"/>
        </w:rPr>
      </w:pPr>
      <w:bookmarkStart w:id="0" w:name="_Hlt407617848"/>
      <w:bookmarkStart w:id="1" w:name="_Hlt407617849"/>
      <w:bookmarkStart w:id="2" w:name="_Hlt399854332"/>
      <w:r w:rsidRPr="00F176F9">
        <w:rPr>
          <w:rFonts w:ascii="Calibri Light" w:hAnsi="Calibri Light" w:cs="Calibri Light"/>
          <w:b/>
          <w:bCs w:val="0"/>
          <w:i w:val="0"/>
          <w:color w:val="auto"/>
        </w:rPr>
        <w:t>U</w:t>
      </w:r>
      <w:bookmarkEnd w:id="0"/>
      <w:bookmarkEnd w:id="1"/>
      <w:bookmarkEnd w:id="2"/>
      <w:r w:rsidRPr="00F176F9">
        <w:rPr>
          <w:rFonts w:ascii="Calibri Light" w:hAnsi="Calibri Light" w:cs="Calibri Light"/>
          <w:b/>
          <w:bCs w:val="0"/>
          <w:i w:val="0"/>
          <w:color w:val="auto"/>
        </w:rPr>
        <w:t>PDATING THE U.S. GAAP CHECKLIST</w:t>
      </w:r>
    </w:p>
    <w:p w14:paraId="18DB41B8" w14:textId="7E171DF9" w:rsidR="005C729F" w:rsidRPr="00493116" w:rsidRDefault="005C729F" w:rsidP="00C72910">
      <w:pPr>
        <w:rPr>
          <w:rStyle w:val="pdocumentul1"/>
          <w:rFonts w:ascii="Calibri Light" w:hAnsi="Calibri Light" w:cs="Calibri Light"/>
        </w:rPr>
      </w:pPr>
      <w:r w:rsidRPr="00493116">
        <w:rPr>
          <w:rFonts w:ascii="Calibri Light" w:eastAsiaTheme="minorHAnsi" w:hAnsi="Calibri Light" w:cs="Calibri Light"/>
        </w:rPr>
        <w:t xml:space="preserve">Users of the </w:t>
      </w:r>
      <w:r w:rsidR="000F1DC5" w:rsidRPr="00493116">
        <w:rPr>
          <w:rFonts w:ascii="Calibri Light" w:eastAsiaTheme="minorHAnsi" w:hAnsi="Calibri Light" w:cs="Calibri Light"/>
        </w:rPr>
        <w:t>U.S. GAAP Checklist</w:t>
      </w:r>
      <w:r w:rsidRPr="00493116">
        <w:rPr>
          <w:rFonts w:ascii="Calibri Light" w:eastAsiaTheme="minorHAnsi" w:hAnsi="Calibri Light" w:cs="Calibri Light"/>
        </w:rPr>
        <w:t xml:space="preserve"> who initiated a checklist prior to this update</w:t>
      </w:r>
      <w:r w:rsidR="005813DD" w:rsidRPr="00493116">
        <w:rPr>
          <w:rFonts w:ascii="Calibri Light" w:eastAsiaTheme="minorHAnsi" w:hAnsi="Calibri Light" w:cs="Calibri Light"/>
        </w:rPr>
        <w:t xml:space="preserve"> and determine that one or more of the ASUs issued affect the period under audit</w:t>
      </w:r>
      <w:r w:rsidRPr="00493116">
        <w:rPr>
          <w:rFonts w:ascii="Calibri Light" w:eastAsiaTheme="minorHAnsi" w:hAnsi="Calibri Light" w:cs="Calibri Light"/>
        </w:rPr>
        <w:t xml:space="preserve"> will need to do the following:</w:t>
      </w:r>
    </w:p>
    <w:p w14:paraId="2E74E665" w14:textId="77777777"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Request</w:t>
      </w:r>
      <w:r w:rsidR="0053412C" w:rsidRPr="00493116">
        <w:rPr>
          <w:rStyle w:val="documentlip1"/>
          <w:rFonts w:ascii="Calibri Light" w:hAnsi="Calibri Light" w:cs="Calibri Light"/>
        </w:rPr>
        <w:t xml:space="preserve"> </w:t>
      </w:r>
      <w:r w:rsidRPr="00493116">
        <w:rPr>
          <w:rStyle w:val="documentlip1"/>
          <w:rFonts w:ascii="Calibri Light" w:hAnsi="Calibri Light" w:cs="Calibri Light"/>
        </w:rPr>
        <w:t>the Deloitte engagement team to initiate a new checklist. This new checklist will supplement the previous checklist created.</w:t>
      </w:r>
    </w:p>
    <w:p w14:paraId="55B76D28" w14:textId="141B68F6"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 xml:space="preserve">Using the list of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below, </w:t>
      </w:r>
      <w:r w:rsidR="00920EF7" w:rsidRPr="00493116">
        <w:rPr>
          <w:rStyle w:val="documentlip1"/>
          <w:rFonts w:ascii="Calibri Light" w:hAnsi="Calibri Light" w:cs="Calibri Light"/>
        </w:rPr>
        <w:t xml:space="preserve">frame the checklist to </w:t>
      </w:r>
      <w:r w:rsidRPr="00493116">
        <w:rPr>
          <w:rStyle w:val="documentlip1"/>
          <w:rFonts w:ascii="Calibri Light" w:hAnsi="Calibri Light" w:cs="Calibri Light"/>
        </w:rPr>
        <w:t>scope</w:t>
      </w:r>
      <w:r w:rsidR="008250C0" w:rsidRPr="00493116">
        <w:rPr>
          <w:rStyle w:val="documentlip1"/>
          <w:rFonts w:ascii="Calibri Light" w:hAnsi="Calibri Light" w:cs="Calibri Light"/>
          <w:szCs w:val="22"/>
          <w:vertAlign w:val="superscript"/>
        </w:rPr>
        <w:footnoteReference w:id="2"/>
      </w:r>
      <w:r w:rsidRPr="00493116">
        <w:rPr>
          <w:rStyle w:val="documentlip1"/>
          <w:rFonts w:ascii="Calibri Light" w:hAnsi="Calibri Light" w:cs="Calibri Light"/>
          <w:szCs w:val="22"/>
          <w:vertAlign w:val="superscript"/>
        </w:rPr>
        <w:t xml:space="preserve"> </w:t>
      </w:r>
      <w:r w:rsidRPr="00493116">
        <w:rPr>
          <w:rStyle w:val="documentlip1"/>
          <w:rFonts w:ascii="Calibri Light" w:hAnsi="Calibri Light" w:cs="Calibri Light"/>
        </w:rPr>
        <w:t xml:space="preserve">in only the applicable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To determine whether the guidance applies, users may view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in the checklist by expanding the Codification tree to the Subsection level and clicking on the Subsection title (usually “General”).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w:t>
      </w:r>
      <w:r w:rsidR="00A94FCF" w:rsidRPr="00493116">
        <w:rPr>
          <w:rStyle w:val="documentlip1"/>
          <w:rFonts w:ascii="Calibri Light" w:hAnsi="Calibri Light" w:cs="Calibri Light"/>
        </w:rPr>
        <w:t xml:space="preserve">generally </w:t>
      </w:r>
      <w:r w:rsidRPr="00493116">
        <w:rPr>
          <w:rStyle w:val="documentlip1"/>
          <w:rFonts w:ascii="Calibri Light" w:hAnsi="Calibri Light" w:cs="Calibri Light"/>
        </w:rPr>
        <w:t>will appear as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 xml:space="preserve">ontent” in the Codification. Transition guidance is linked to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ontent paragraphs</w:t>
      </w:r>
      <w:r w:rsidR="00264CC4" w:rsidRPr="00493116">
        <w:rPr>
          <w:rStyle w:val="documentlip1"/>
          <w:rFonts w:ascii="Calibri Light" w:hAnsi="Calibri Light" w:cs="Calibri Light"/>
        </w:rPr>
        <w:t>.</w:t>
      </w:r>
      <w:r w:rsidR="003861EE" w:rsidRPr="00493116">
        <w:rPr>
          <w:rStyle w:val="documentlip1"/>
          <w:rFonts w:ascii="Calibri Light" w:hAnsi="Calibri Light" w:cs="Calibri Light"/>
        </w:rPr>
        <w:t xml:space="preserve"> Section 15 of </w:t>
      </w:r>
      <w:r w:rsidR="00293EA9" w:rsidRPr="00493116">
        <w:rPr>
          <w:rStyle w:val="documentlip1"/>
          <w:rFonts w:ascii="Calibri Light" w:hAnsi="Calibri Light" w:cs="Calibri Light"/>
        </w:rPr>
        <w:t xml:space="preserve">each respective ASC Topic within </w:t>
      </w:r>
      <w:r w:rsidR="003861EE" w:rsidRPr="00493116">
        <w:rPr>
          <w:rStyle w:val="documentlip1"/>
          <w:rFonts w:ascii="Calibri Light" w:hAnsi="Calibri Light" w:cs="Calibri Light"/>
        </w:rPr>
        <w:t xml:space="preserve">the </w:t>
      </w:r>
      <w:r w:rsidR="004F1F71" w:rsidRPr="00493116">
        <w:rPr>
          <w:rStyle w:val="documentlip1"/>
          <w:rFonts w:ascii="Calibri Light" w:hAnsi="Calibri Light" w:cs="Calibri Light"/>
        </w:rPr>
        <w:t>C</w:t>
      </w:r>
      <w:r w:rsidR="003861EE" w:rsidRPr="00493116">
        <w:rPr>
          <w:rStyle w:val="documentlip1"/>
          <w:rFonts w:ascii="Calibri Light" w:hAnsi="Calibri Light" w:cs="Calibri Light"/>
        </w:rPr>
        <w:t xml:space="preserve">odification can be viewed to determine </w:t>
      </w:r>
      <w:r w:rsidR="0053412C" w:rsidRPr="00493116">
        <w:rPr>
          <w:rStyle w:val="documentlip1"/>
          <w:rFonts w:ascii="Calibri Light" w:hAnsi="Calibri Light" w:cs="Calibri Light"/>
        </w:rPr>
        <w:t xml:space="preserve">if </w:t>
      </w:r>
      <w:r w:rsidR="003861EE" w:rsidRPr="00493116">
        <w:rPr>
          <w:rStyle w:val="documentlip1"/>
          <w:rFonts w:ascii="Calibri Light" w:hAnsi="Calibri Light" w:cs="Calibri Light"/>
        </w:rPr>
        <w:t xml:space="preserve">the </w:t>
      </w:r>
      <w:r w:rsidR="0053412C" w:rsidRPr="00493116">
        <w:rPr>
          <w:rStyle w:val="documentlip1"/>
          <w:rFonts w:ascii="Calibri Light" w:hAnsi="Calibri Light" w:cs="Calibri Light"/>
        </w:rPr>
        <w:t xml:space="preserve">guidance applies to the entity. </w:t>
      </w:r>
      <w:r w:rsidR="005D499F" w:rsidRPr="00493116">
        <w:rPr>
          <w:rStyle w:val="documentlip1"/>
          <w:rFonts w:ascii="Calibri Light" w:hAnsi="Calibri Light" w:cs="Calibri Light"/>
        </w:rPr>
        <w:t xml:space="preserve">The preparer may also consider </w:t>
      </w:r>
      <w:r w:rsidR="00E94996" w:rsidRPr="00493116">
        <w:rPr>
          <w:rStyle w:val="documentlip1"/>
          <w:rFonts w:ascii="Calibri Light" w:hAnsi="Calibri Light" w:cs="Calibri Light"/>
        </w:rPr>
        <w:t>S</w:t>
      </w:r>
      <w:r w:rsidR="005D499F" w:rsidRPr="00493116">
        <w:rPr>
          <w:rStyle w:val="documentlip1"/>
          <w:rFonts w:ascii="Calibri Light" w:hAnsi="Calibri Light" w:cs="Calibri Light"/>
        </w:rPr>
        <w:t>ection 55</w:t>
      </w:r>
      <w:r w:rsidR="00A105AC" w:rsidRPr="00493116">
        <w:rPr>
          <w:rStyle w:val="documentlip1"/>
          <w:rFonts w:ascii="Calibri Light" w:hAnsi="Calibri Light" w:cs="Calibri Light"/>
        </w:rPr>
        <w:t xml:space="preserve"> </w:t>
      </w:r>
      <w:r w:rsidR="004F1F71" w:rsidRPr="00493116">
        <w:rPr>
          <w:rStyle w:val="documentlip1"/>
          <w:rFonts w:ascii="Calibri Light" w:hAnsi="Calibri Light" w:cs="Calibri Light"/>
        </w:rPr>
        <w:t xml:space="preserve">of </w:t>
      </w:r>
      <w:r w:rsidR="00293EA9" w:rsidRPr="00493116">
        <w:rPr>
          <w:rStyle w:val="documentlip1"/>
          <w:rFonts w:ascii="Calibri Light" w:hAnsi="Calibri Light" w:cs="Calibri Light"/>
        </w:rPr>
        <w:t xml:space="preserve">each respective ASC Topic within </w:t>
      </w:r>
      <w:r w:rsidR="004F1F71" w:rsidRPr="00493116">
        <w:rPr>
          <w:rStyle w:val="documentlip1"/>
          <w:rFonts w:ascii="Calibri Light" w:hAnsi="Calibri Light" w:cs="Calibri Light"/>
        </w:rPr>
        <w:t xml:space="preserve">the Codification </w:t>
      </w:r>
      <w:r w:rsidR="00A105AC" w:rsidRPr="00493116">
        <w:rPr>
          <w:rStyle w:val="documentlip1"/>
          <w:rFonts w:ascii="Calibri Light" w:hAnsi="Calibri Light" w:cs="Calibri Light"/>
        </w:rPr>
        <w:t>for implementation guidance and illustrations.</w:t>
      </w:r>
    </w:p>
    <w:p w14:paraId="7C40C4D5" w14:textId="24A48EB5" w:rsidR="00405A9C" w:rsidRPr="00493116" w:rsidRDefault="005C729F" w:rsidP="00C72910">
      <w:pPr>
        <w:rPr>
          <w:rStyle w:val="pdocumentul1"/>
          <w:rFonts w:ascii="Calibri Light" w:hAnsi="Calibri Light" w:cs="Calibri Light"/>
        </w:rPr>
      </w:pPr>
      <w:r w:rsidRPr="00493116">
        <w:rPr>
          <w:rStyle w:val="pdocumentul1"/>
          <w:rFonts w:ascii="Calibri Light" w:hAnsi="Calibri Light" w:cs="Calibri Light"/>
        </w:rPr>
        <w:t xml:space="preserve">Once the </w:t>
      </w:r>
      <w:r w:rsidR="002316CC" w:rsidRPr="00493116">
        <w:rPr>
          <w:rStyle w:val="pdocumentul1"/>
          <w:rFonts w:ascii="Calibri Light" w:hAnsi="Calibri Light" w:cs="Calibri Light"/>
        </w:rPr>
        <w:t xml:space="preserve">initiation and </w:t>
      </w:r>
      <w:r w:rsidR="00920EF7" w:rsidRPr="00493116">
        <w:rPr>
          <w:rStyle w:val="pdocumentul1"/>
          <w:rFonts w:ascii="Calibri Light" w:hAnsi="Calibri Light" w:cs="Calibri Light"/>
        </w:rPr>
        <w:t xml:space="preserve">framing </w:t>
      </w:r>
      <w:r w:rsidR="00A06591" w:rsidRPr="00493116">
        <w:rPr>
          <w:rStyle w:val="pdocumentul1"/>
          <w:rFonts w:ascii="Calibri Light" w:hAnsi="Calibri Light" w:cs="Calibri Light"/>
        </w:rPr>
        <w:t>are</w:t>
      </w:r>
      <w:r w:rsidRPr="00493116">
        <w:rPr>
          <w:rStyle w:val="pdocumentul1"/>
          <w:rFonts w:ascii="Calibri Light" w:hAnsi="Calibri Light" w:cs="Calibri Light"/>
        </w:rPr>
        <w:t xml:space="preserve"> complete, </w:t>
      </w:r>
      <w:r w:rsidR="000F1DC5" w:rsidRPr="00493116">
        <w:rPr>
          <w:rStyle w:val="pdocumentul1"/>
          <w:rFonts w:ascii="Calibri Light" w:hAnsi="Calibri Light" w:cs="Calibri Light"/>
        </w:rPr>
        <w:t>the</w:t>
      </w:r>
      <w:r w:rsidRPr="00493116">
        <w:rPr>
          <w:rStyle w:val="pdocumentul1"/>
          <w:rFonts w:ascii="Calibri Light" w:hAnsi="Calibri Light" w:cs="Calibri Light"/>
        </w:rPr>
        <w:t xml:space="preserve"> new </w:t>
      </w:r>
      <w:r w:rsidR="002316CC" w:rsidRPr="00493116">
        <w:rPr>
          <w:rStyle w:val="pdocumentul1"/>
          <w:rFonts w:ascii="Calibri Light" w:hAnsi="Calibri Light" w:cs="Calibri Light"/>
        </w:rPr>
        <w:t xml:space="preserve">supplemental </w:t>
      </w:r>
      <w:r w:rsidRPr="00493116">
        <w:rPr>
          <w:rStyle w:val="pdocumentul1"/>
          <w:rFonts w:ascii="Calibri Light" w:hAnsi="Calibri Light" w:cs="Calibri Light"/>
        </w:rPr>
        <w:t xml:space="preserve">checklist will include </w:t>
      </w:r>
      <w:r w:rsidR="00A94FCF" w:rsidRPr="00493116">
        <w:rPr>
          <w:rStyle w:val="pdocumentul1"/>
          <w:rFonts w:ascii="Calibri Light" w:hAnsi="Calibri Light" w:cs="Calibri Light"/>
        </w:rPr>
        <w:t xml:space="preserve">only </w:t>
      </w:r>
      <w:r w:rsidRPr="00493116">
        <w:rPr>
          <w:rStyle w:val="pdocumentul1"/>
          <w:rFonts w:ascii="Calibri Light" w:hAnsi="Calibri Light" w:cs="Calibri Light"/>
        </w:rPr>
        <w:t>questions related to the</w:t>
      </w:r>
      <w:r w:rsidR="00BE7766" w:rsidRPr="00493116">
        <w:rPr>
          <w:rStyle w:val="pdocumentul1"/>
          <w:rFonts w:ascii="Calibri Light" w:hAnsi="Calibri Light" w:cs="Calibri Light"/>
        </w:rPr>
        <w:t xml:space="preserve"> updated</w:t>
      </w:r>
      <w:r w:rsidRPr="00493116">
        <w:rPr>
          <w:rStyle w:val="pdocumentul1"/>
          <w:rFonts w:ascii="Calibri Light" w:hAnsi="Calibri Light" w:cs="Calibri Light"/>
        </w:rPr>
        <w:t xml:space="preserve"> guidance that was scoped into that checklist.</w:t>
      </w:r>
      <w:r w:rsidR="00900BC5" w:rsidRPr="00493116">
        <w:rPr>
          <w:rStyle w:val="pdocumentul1"/>
          <w:rFonts w:ascii="Calibri Light" w:hAnsi="Calibri Light" w:cs="Calibri Light"/>
        </w:rPr>
        <w:t xml:space="preserve"> </w:t>
      </w:r>
      <w:r w:rsidR="000160D7" w:rsidRPr="00493116">
        <w:rPr>
          <w:rStyle w:val="pdocumentul1"/>
          <w:rFonts w:ascii="Calibri Light" w:hAnsi="Calibri Light" w:cs="Calibri Light"/>
        </w:rPr>
        <w:t>For users of the U.S. GAAP Checklist that have yet to initiate a checklist prior to this update,</w:t>
      </w:r>
      <w:r w:rsidR="001F58F2" w:rsidRPr="00493116">
        <w:rPr>
          <w:rStyle w:val="pdocumentul1"/>
          <w:rFonts w:ascii="Calibri Light" w:hAnsi="Calibri Light" w:cs="Calibri Light"/>
        </w:rPr>
        <w:t xml:space="preserve"> the update to the Codification will be automatically incorporate</w:t>
      </w:r>
      <w:r w:rsidR="001562DA" w:rsidRPr="00493116">
        <w:rPr>
          <w:rStyle w:val="pdocumentul1"/>
          <w:rFonts w:ascii="Calibri Light" w:hAnsi="Calibri Light" w:cs="Calibri Light"/>
        </w:rPr>
        <w:t>d</w:t>
      </w:r>
      <w:r w:rsidR="001F58F2" w:rsidRPr="00493116">
        <w:rPr>
          <w:rStyle w:val="pdocumentul1"/>
          <w:rFonts w:ascii="Calibri Light" w:hAnsi="Calibri Light" w:cs="Calibri Light"/>
        </w:rPr>
        <w:t xml:space="preserve"> into the newly initiated checklist.</w:t>
      </w:r>
    </w:p>
    <w:p w14:paraId="54F63168" w14:textId="305CDFB1" w:rsidR="00405A9C" w:rsidRPr="00493116" w:rsidRDefault="00405A9C" w:rsidP="00C72910">
      <w:pPr>
        <w:rPr>
          <w:rStyle w:val="pdocumentul1"/>
          <w:rFonts w:ascii="Calibri Light" w:hAnsi="Calibri Light" w:cs="Calibri Light"/>
        </w:rPr>
      </w:pPr>
      <w:r w:rsidRPr="00493116">
        <w:rPr>
          <w:rStyle w:val="pdocumentul1"/>
          <w:rFonts w:ascii="Calibri Light" w:hAnsi="Calibri Light" w:cs="Calibri Light"/>
        </w:rPr>
        <w:t xml:space="preserve">See the </w:t>
      </w:r>
      <w:hyperlink r:id="rId10" w:history="1">
        <w:r w:rsidRPr="00493116">
          <w:rPr>
            <w:rStyle w:val="Hyperlink"/>
            <w:rFonts w:ascii="Calibri Light" w:eastAsia="Verdana" w:hAnsi="Calibri Light" w:cs="Calibri Light"/>
            <w:i/>
          </w:rPr>
          <w:t>Quick Reference Guide</w:t>
        </w:r>
      </w:hyperlink>
      <w:r w:rsidRPr="00493116">
        <w:rPr>
          <w:rStyle w:val="pdocumentul1"/>
          <w:rFonts w:ascii="Calibri Light" w:hAnsi="Calibri Light" w:cs="Calibri Light"/>
        </w:rPr>
        <w:t xml:space="preserve"> for guidance on the Checklist offered through </w:t>
      </w:r>
      <w:r w:rsidR="00D21A76" w:rsidRPr="00493116">
        <w:rPr>
          <w:rStyle w:val="pdocumentul1"/>
          <w:rFonts w:ascii="Calibri Light" w:hAnsi="Calibri Light" w:cs="Calibri Light"/>
        </w:rPr>
        <w:t xml:space="preserve">the </w:t>
      </w:r>
      <w:r w:rsidRPr="00493116">
        <w:rPr>
          <w:rStyle w:val="pdocumentul1"/>
          <w:rFonts w:ascii="Calibri Light" w:hAnsi="Calibri Light" w:cs="Calibri Light"/>
        </w:rPr>
        <w:t>Disclosure Analytics</w:t>
      </w:r>
      <w:r w:rsidR="00D21A76" w:rsidRPr="00493116">
        <w:rPr>
          <w:rStyle w:val="pdocumentul1"/>
          <w:rFonts w:ascii="Calibri Light" w:hAnsi="Calibri Light" w:cs="Calibri Light"/>
        </w:rPr>
        <w:t xml:space="preserve"> suite</w:t>
      </w:r>
      <w:r w:rsidRPr="00493116">
        <w:rPr>
          <w:rStyle w:val="pdocumentul1"/>
          <w:rFonts w:ascii="Calibri Light" w:hAnsi="Calibri Light" w:cs="Calibri Light"/>
        </w:rPr>
        <w:t>.</w:t>
      </w:r>
    </w:p>
    <w:p w14:paraId="7BA6DC41" w14:textId="77777777" w:rsidR="0029581F" w:rsidRDefault="0029581F">
      <w:pPr>
        <w:widowControl/>
        <w:autoSpaceDE/>
        <w:autoSpaceDN/>
        <w:spacing w:after="0" w:line="240" w:lineRule="auto"/>
        <w:rPr>
          <w:rFonts w:ascii="Calibri Light" w:hAnsi="Calibri Light" w:cs="Calibri Light"/>
        </w:rPr>
      </w:pPr>
      <w:r>
        <w:rPr>
          <w:rFonts w:ascii="Calibri Light" w:hAnsi="Calibri Light" w:cs="Calibri Light"/>
        </w:rPr>
        <w:br w:type="page"/>
      </w:r>
    </w:p>
    <w:p w14:paraId="4BDC9484" w14:textId="3E642A65" w:rsidR="00CF2715" w:rsidRPr="00F176F9" w:rsidRDefault="00C72910" w:rsidP="00C72910">
      <w:pPr>
        <w:pStyle w:val="PAH2"/>
        <w:outlineLvl w:val="0"/>
        <w:rPr>
          <w:rFonts w:ascii="Calibri Light" w:hAnsi="Calibri Light" w:cs="Calibri Light"/>
          <w:b/>
          <w:bCs w:val="0"/>
          <w:i w:val="0"/>
          <w:color w:val="auto"/>
        </w:rPr>
      </w:pPr>
      <w:r w:rsidRPr="00F176F9">
        <w:rPr>
          <w:rFonts w:ascii="Calibri Light" w:hAnsi="Calibri Light" w:cs="Calibri Light"/>
          <w:b/>
          <w:bCs w:val="0"/>
          <w:i w:val="0"/>
          <w:color w:val="auto"/>
        </w:rPr>
        <w:lastRenderedPageBreak/>
        <w:t>ACCOUNTING GUIDANCE ISSUED DURING THE QUARTER</w:t>
      </w:r>
    </w:p>
    <w:p w14:paraId="69F5E6F3" w14:textId="58A3EAC4" w:rsidR="00021275" w:rsidRPr="00493116" w:rsidRDefault="00167383" w:rsidP="00C72910">
      <w:pPr>
        <w:rPr>
          <w:rStyle w:val="documentlip1"/>
          <w:rFonts w:ascii="Calibri Light" w:hAnsi="Calibri Light" w:cs="Calibri Light"/>
          <w:szCs w:val="22"/>
        </w:rPr>
      </w:pPr>
      <w:r w:rsidRPr="00493116">
        <w:rPr>
          <w:rStyle w:val="documentlip1"/>
          <w:rFonts w:ascii="Calibri Light" w:hAnsi="Calibri Light" w:cs="Calibri Light"/>
          <w:szCs w:val="22"/>
        </w:rPr>
        <w:t>Th</w:t>
      </w:r>
      <w:r w:rsidR="00F06EF0" w:rsidRPr="00493116">
        <w:rPr>
          <w:rStyle w:val="documentlip1"/>
          <w:rFonts w:ascii="Calibri Light" w:hAnsi="Calibri Light" w:cs="Calibri Light"/>
          <w:szCs w:val="22"/>
        </w:rPr>
        <w:t xml:space="preserve">ere </w:t>
      </w:r>
      <w:r w:rsidR="00302ED0">
        <w:rPr>
          <w:rStyle w:val="documentlip1"/>
          <w:rFonts w:ascii="Calibri Light" w:hAnsi="Calibri Light" w:cs="Calibri Light"/>
          <w:szCs w:val="22"/>
        </w:rPr>
        <w:t>w</w:t>
      </w:r>
      <w:r w:rsidR="00BC5764">
        <w:rPr>
          <w:rStyle w:val="documentlip1"/>
          <w:rFonts w:ascii="Calibri Light" w:hAnsi="Calibri Light" w:cs="Calibri Light"/>
          <w:szCs w:val="22"/>
        </w:rPr>
        <w:t>ere</w:t>
      </w:r>
      <w:r w:rsidR="00302ED0">
        <w:rPr>
          <w:rStyle w:val="documentlip1"/>
          <w:rFonts w:ascii="Calibri Light" w:hAnsi="Calibri Light" w:cs="Calibri Light"/>
          <w:szCs w:val="22"/>
        </w:rPr>
        <w:t xml:space="preserve"> </w:t>
      </w:r>
      <w:r w:rsidR="00CD5740">
        <w:rPr>
          <w:rStyle w:val="documentlip1"/>
          <w:rFonts w:ascii="Calibri Light" w:hAnsi="Calibri Light" w:cs="Calibri Light"/>
          <w:szCs w:val="22"/>
        </w:rPr>
        <w:t>four</w:t>
      </w:r>
      <w:r w:rsidR="000C4443" w:rsidRPr="00493116">
        <w:rPr>
          <w:rStyle w:val="documentlip1"/>
          <w:rFonts w:ascii="Calibri Light" w:hAnsi="Calibri Light" w:cs="Calibri Light"/>
          <w:szCs w:val="22"/>
        </w:rPr>
        <w:t xml:space="preserve"> </w:t>
      </w:r>
      <w:r w:rsidR="00F711AC" w:rsidRPr="00493116">
        <w:rPr>
          <w:rStyle w:val="documentlip1"/>
          <w:rFonts w:ascii="Calibri Light" w:hAnsi="Calibri Light" w:cs="Calibri Light"/>
          <w:szCs w:val="22"/>
        </w:rPr>
        <w:t>ASU</w:t>
      </w:r>
      <w:r w:rsidR="00BC5764">
        <w:rPr>
          <w:rStyle w:val="documentlip1"/>
          <w:rFonts w:ascii="Calibri Light" w:hAnsi="Calibri Light" w:cs="Calibri Light"/>
          <w:szCs w:val="22"/>
        </w:rPr>
        <w:t>s</w:t>
      </w:r>
      <w:r w:rsidR="00F711AC" w:rsidRPr="00493116">
        <w:rPr>
          <w:rStyle w:val="documentlip1"/>
          <w:rFonts w:ascii="Calibri Light" w:hAnsi="Calibri Light" w:cs="Calibri Light"/>
          <w:szCs w:val="22"/>
        </w:rPr>
        <w:t xml:space="preserve"> issued by the FASB</w:t>
      </w:r>
      <w:r w:rsidRPr="00493116">
        <w:rPr>
          <w:rStyle w:val="documentlip1"/>
          <w:rFonts w:ascii="Calibri Light" w:hAnsi="Calibri Light" w:cs="Calibri Light"/>
          <w:szCs w:val="22"/>
        </w:rPr>
        <w:t xml:space="preserve"> </w:t>
      </w:r>
      <w:r w:rsidR="00DA0372">
        <w:rPr>
          <w:rStyle w:val="documentlip1"/>
          <w:rFonts w:ascii="Calibri Light" w:hAnsi="Calibri Light" w:cs="Calibri Light"/>
          <w:szCs w:val="22"/>
        </w:rPr>
        <w:t>(the “Board”)</w:t>
      </w:r>
      <w:r w:rsidRPr="00493116">
        <w:rPr>
          <w:rStyle w:val="documentlip1"/>
          <w:rFonts w:ascii="Calibri Light" w:hAnsi="Calibri Light" w:cs="Calibri Light"/>
          <w:szCs w:val="22"/>
        </w:rPr>
        <w:t xml:space="preserve"> </w:t>
      </w:r>
      <w:r w:rsidR="002C057F" w:rsidRPr="00493116">
        <w:rPr>
          <w:rStyle w:val="documentlip1"/>
          <w:rFonts w:ascii="Calibri Light" w:hAnsi="Calibri Light" w:cs="Calibri Light"/>
          <w:szCs w:val="22"/>
        </w:rPr>
        <w:t xml:space="preserve">during the </w:t>
      </w:r>
      <w:r w:rsidR="00330430" w:rsidRPr="00493116">
        <w:rPr>
          <w:rStyle w:val="documentlip1"/>
          <w:rFonts w:ascii="Calibri Light" w:hAnsi="Calibri Light" w:cs="Calibri Light"/>
          <w:szCs w:val="22"/>
        </w:rPr>
        <w:t>three-month</w:t>
      </w:r>
      <w:r w:rsidR="002C057F" w:rsidRPr="00493116">
        <w:rPr>
          <w:rStyle w:val="documentlip1"/>
          <w:rFonts w:ascii="Calibri Light" w:hAnsi="Calibri Light" w:cs="Calibri Light"/>
          <w:szCs w:val="22"/>
        </w:rPr>
        <w:t xml:space="preserve"> period ending </w:t>
      </w:r>
      <w:r w:rsidR="00CD5740">
        <w:rPr>
          <w:rStyle w:val="documentlip1"/>
          <w:rFonts w:ascii="Calibri Light" w:hAnsi="Calibri Light" w:cs="Calibri Light"/>
          <w:szCs w:val="22"/>
        </w:rPr>
        <w:t>December</w:t>
      </w:r>
      <w:r w:rsidR="00FB749F" w:rsidRPr="00493116">
        <w:rPr>
          <w:rStyle w:val="documentlip1"/>
          <w:rFonts w:ascii="Calibri Light" w:hAnsi="Calibri Light" w:cs="Calibri Light"/>
          <w:szCs w:val="22"/>
        </w:rPr>
        <w:t xml:space="preserve"> 3</w:t>
      </w:r>
      <w:r w:rsidR="00CD5740">
        <w:rPr>
          <w:rStyle w:val="documentlip1"/>
          <w:rFonts w:ascii="Calibri Light" w:hAnsi="Calibri Light" w:cs="Calibri Light"/>
          <w:szCs w:val="22"/>
        </w:rPr>
        <w:t>1</w:t>
      </w:r>
      <w:r w:rsidR="001404F7" w:rsidRPr="00493116">
        <w:rPr>
          <w:rStyle w:val="documentlip1"/>
          <w:rFonts w:ascii="Calibri Light" w:hAnsi="Calibri Light" w:cs="Calibri Light"/>
          <w:szCs w:val="22"/>
        </w:rPr>
        <w:t>, 20</w:t>
      </w:r>
      <w:r w:rsidR="00C21DB5" w:rsidRPr="00493116">
        <w:rPr>
          <w:rStyle w:val="documentlip1"/>
          <w:rFonts w:ascii="Calibri Light" w:hAnsi="Calibri Light" w:cs="Calibri Light"/>
          <w:szCs w:val="22"/>
        </w:rPr>
        <w:t>2</w:t>
      </w:r>
      <w:r w:rsidR="00A51F76">
        <w:rPr>
          <w:rStyle w:val="documentlip1"/>
          <w:rFonts w:ascii="Calibri Light" w:hAnsi="Calibri Light" w:cs="Calibri Light"/>
          <w:szCs w:val="22"/>
        </w:rPr>
        <w:t>1</w:t>
      </w:r>
      <w:r w:rsidR="00BE0A54" w:rsidRPr="00493116">
        <w:rPr>
          <w:rStyle w:val="documentlip1"/>
          <w:rFonts w:ascii="Calibri Light" w:hAnsi="Calibri Light" w:cs="Calibri Light"/>
          <w:szCs w:val="22"/>
        </w:rPr>
        <w:t>:</w:t>
      </w:r>
    </w:p>
    <w:bookmarkStart w:id="3" w:name="_Hlk524502021"/>
    <w:p w14:paraId="355687B8" w14:textId="23723F77" w:rsidR="00F00367" w:rsidRPr="00297FCB" w:rsidRDefault="00CD5740" w:rsidP="0067356F">
      <w:pPr>
        <w:pStyle w:val="PABulletLink75IND"/>
        <w:numPr>
          <w:ilvl w:val="0"/>
          <w:numId w:val="10"/>
        </w:numPr>
        <w:spacing w:before="0" w:after="240"/>
        <w:ind w:left="270" w:hanging="270"/>
        <w:rPr>
          <w:rStyle w:val="Hyperlink"/>
          <w:rFonts w:ascii="Calibri Light" w:hAnsi="Calibri Light" w:cs="Calibri Light"/>
          <w:b/>
          <w:iCs/>
        </w:rPr>
      </w:pPr>
      <w:r>
        <w:rPr>
          <w:rStyle w:val="Hyperlink"/>
          <w:rFonts w:ascii="Calibri Light" w:hAnsi="Calibri Light" w:cs="Calibri Light"/>
          <w:b/>
          <w:iCs/>
        </w:rPr>
        <w:fldChar w:fldCharType="begin"/>
      </w:r>
      <w:r>
        <w:rPr>
          <w:rStyle w:val="Hyperlink"/>
          <w:rFonts w:ascii="Calibri Light" w:hAnsi="Calibri Light" w:cs="Calibri Light"/>
          <w:b/>
          <w:iCs/>
        </w:rPr>
        <w:instrText xml:space="preserve"> HYPERLINK "https://www.fasb.org/cs/ContentServer?c=Document_C&amp;cid=1176178770358&amp;d=&amp;pagename=FASB%2FDocument_C%2FDocumentPage" </w:instrText>
      </w:r>
      <w:r>
        <w:rPr>
          <w:rStyle w:val="Hyperlink"/>
          <w:rFonts w:ascii="Calibri Light" w:hAnsi="Calibri Light" w:cs="Calibri Light"/>
          <w:b/>
          <w:iCs/>
        </w:rPr>
        <w:fldChar w:fldCharType="separate"/>
      </w:r>
      <w:r w:rsidR="00F00367" w:rsidRPr="00CD5740">
        <w:rPr>
          <w:rStyle w:val="Hyperlink"/>
          <w:rFonts w:ascii="Calibri Light" w:hAnsi="Calibri Light" w:cs="Calibri Light"/>
          <w:b/>
          <w:iCs/>
        </w:rPr>
        <w:t>202</w:t>
      </w:r>
      <w:r w:rsidR="00693641" w:rsidRPr="00CD5740">
        <w:rPr>
          <w:rStyle w:val="Hyperlink"/>
          <w:rFonts w:ascii="Calibri Light" w:hAnsi="Calibri Light" w:cs="Calibri Light"/>
          <w:b/>
          <w:iCs/>
        </w:rPr>
        <w:t>1</w:t>
      </w:r>
      <w:r w:rsidR="00F00367" w:rsidRPr="00CD5740">
        <w:rPr>
          <w:rStyle w:val="Hyperlink"/>
          <w:rFonts w:ascii="Calibri Light" w:hAnsi="Calibri Light" w:cs="Calibri Light"/>
          <w:b/>
          <w:iCs/>
        </w:rPr>
        <w:t>-0</w:t>
      </w:r>
      <w:r w:rsidRPr="00CD5740">
        <w:rPr>
          <w:rStyle w:val="Hyperlink"/>
          <w:rFonts w:ascii="Calibri Light" w:hAnsi="Calibri Light" w:cs="Calibri Light"/>
          <w:b/>
          <w:iCs/>
        </w:rPr>
        <w:t>7</w:t>
      </w:r>
      <w:r w:rsidR="00F00367" w:rsidRPr="00CD5740">
        <w:rPr>
          <w:rStyle w:val="Hyperlink"/>
          <w:rFonts w:ascii="Calibri Light" w:hAnsi="Calibri Light" w:cs="Calibri Light"/>
          <w:b/>
          <w:iCs/>
        </w:rPr>
        <w:t xml:space="preserve"> — </w:t>
      </w:r>
      <w:r w:rsidRPr="00CD5740">
        <w:rPr>
          <w:rStyle w:val="Hyperlink"/>
          <w:rFonts w:ascii="Calibri Light" w:hAnsi="Calibri Light" w:cs="Calibri Light"/>
          <w:b/>
          <w:i/>
        </w:rPr>
        <w:t xml:space="preserve">Compensation—Stock Compensation (Topic 718): Determining the Current Price of an Underlying Share for Equity-Classified Share-Based Awards (a </w:t>
      </w:r>
      <w:r w:rsidR="00740A36">
        <w:rPr>
          <w:rStyle w:val="Hyperlink"/>
          <w:rFonts w:ascii="Calibri Light" w:hAnsi="Calibri Light" w:cs="Calibri Light"/>
          <w:b/>
          <w:i/>
        </w:rPr>
        <w:t>C</w:t>
      </w:r>
      <w:r w:rsidR="00740A36" w:rsidRPr="00CD5740">
        <w:rPr>
          <w:rStyle w:val="Hyperlink"/>
          <w:rFonts w:ascii="Calibri Light" w:hAnsi="Calibri Light" w:cs="Calibri Light"/>
          <w:b/>
          <w:i/>
        </w:rPr>
        <w:t xml:space="preserve">onsensus </w:t>
      </w:r>
      <w:r w:rsidRPr="00CD5740">
        <w:rPr>
          <w:rStyle w:val="Hyperlink"/>
          <w:rFonts w:ascii="Calibri Light" w:hAnsi="Calibri Light" w:cs="Calibri Light"/>
          <w:b/>
          <w:i/>
        </w:rPr>
        <w:t>of the Private Company Council)</w:t>
      </w:r>
      <w:r>
        <w:rPr>
          <w:rStyle w:val="Hyperlink"/>
          <w:rFonts w:ascii="Calibri Light" w:hAnsi="Calibri Light" w:cs="Calibri Light"/>
          <w:b/>
          <w:iCs/>
        </w:rPr>
        <w:fldChar w:fldCharType="end"/>
      </w:r>
    </w:p>
    <w:p w14:paraId="7B0861B6" w14:textId="2E8B6F10" w:rsidR="00B46DFB" w:rsidRDefault="005B3C89" w:rsidP="00B46DFB">
      <w:pPr>
        <w:rPr>
          <w:rFonts w:ascii="Calibri Light" w:hAnsi="Calibri Light" w:cs="Calibri Light"/>
        </w:rPr>
      </w:pPr>
      <w:r w:rsidRPr="00493116">
        <w:rPr>
          <w:rFonts w:ascii="Calibri Light" w:hAnsi="Calibri Light" w:cs="Calibri Light"/>
        </w:rPr>
        <w:t xml:space="preserve">This ASU was issued on </w:t>
      </w:r>
      <w:r w:rsidR="00BE3634" w:rsidRPr="00BE3634">
        <w:rPr>
          <w:rFonts w:ascii="Calibri Light" w:hAnsi="Calibri Light" w:cs="Calibri Light"/>
        </w:rPr>
        <w:t>October 25, 2021</w:t>
      </w:r>
      <w:r w:rsidR="00DF6B13" w:rsidRPr="00DF6B13">
        <w:rPr>
          <w:rFonts w:ascii="Calibri Light" w:hAnsi="Calibri Light" w:cs="Calibri Light"/>
        </w:rPr>
        <w:t>.</w:t>
      </w:r>
      <w:r w:rsidR="009B7A57">
        <w:rPr>
          <w:rFonts w:ascii="Calibri Light" w:hAnsi="Calibri Light" w:cs="Calibri Light"/>
        </w:rPr>
        <w:t xml:space="preserve"> The amendments in the ASU </w:t>
      </w:r>
      <w:r w:rsidR="00BE3634" w:rsidRPr="00BE3634">
        <w:rPr>
          <w:rFonts w:ascii="Calibri Light" w:hAnsi="Calibri Light" w:cs="Calibri Light"/>
        </w:rPr>
        <w:t>allows nonpublic entities to use, as a practical expedient, “the reasonable application of a reasonable valuation method” to determine the current price input of equity-classified share-based payment awards issued in exchange for goods or services. The ASU notes that a valuation performed in accordance with specified U.S. Treasury regulations related to Internal Revenue Code (IRC) Section 409A is an example of a reasonable valuation method under the practical expedient</w:t>
      </w:r>
      <w:r w:rsidR="009B7A57" w:rsidRPr="009B7A57">
        <w:rPr>
          <w:rFonts w:ascii="Calibri Light" w:hAnsi="Calibri Light" w:cs="Calibri Light"/>
        </w:rPr>
        <w:t>.</w:t>
      </w:r>
      <w:r w:rsidR="00BE3634">
        <w:rPr>
          <w:rFonts w:ascii="Calibri Light" w:hAnsi="Calibri Light" w:cs="Calibri Light"/>
        </w:rPr>
        <w:t xml:space="preserve"> </w:t>
      </w:r>
      <w:r w:rsidR="00BE3634" w:rsidRPr="00BE3634">
        <w:rPr>
          <w:rFonts w:ascii="Calibri Light" w:hAnsi="Calibri Light" w:cs="Calibri Light"/>
        </w:rPr>
        <w:t xml:space="preserve">The ASU further clarifies that an entity that wishes to apply the practical expedient must do so on a measurement-date-by-measurement-date basis. </w:t>
      </w:r>
      <w:r w:rsidR="00B46DFB" w:rsidRPr="00B46DFB">
        <w:rPr>
          <w:rFonts w:ascii="Calibri Light" w:hAnsi="Calibri Light" w:cs="Calibri Light"/>
        </w:rPr>
        <w:t>That means that the practical</w:t>
      </w:r>
      <w:r w:rsidR="00B46DFB">
        <w:rPr>
          <w:rFonts w:ascii="Calibri Light" w:hAnsi="Calibri Light" w:cs="Calibri Light"/>
        </w:rPr>
        <w:t xml:space="preserve"> </w:t>
      </w:r>
      <w:r w:rsidR="00B46DFB" w:rsidRPr="00B46DFB">
        <w:rPr>
          <w:rFonts w:ascii="Calibri Light" w:hAnsi="Calibri Light" w:cs="Calibri Light"/>
        </w:rPr>
        <w:t>expedient must be applied to all share-based awards within the scope of the</w:t>
      </w:r>
      <w:r w:rsidR="00B46DFB">
        <w:rPr>
          <w:rFonts w:ascii="Calibri Light" w:hAnsi="Calibri Light" w:cs="Calibri Light"/>
        </w:rPr>
        <w:t xml:space="preserve"> </w:t>
      </w:r>
      <w:r w:rsidR="00B46DFB" w:rsidRPr="00B46DFB">
        <w:rPr>
          <w:rFonts w:ascii="Calibri Light" w:hAnsi="Calibri Light" w:cs="Calibri Light"/>
        </w:rPr>
        <w:t>practical expedient that have the same underlying share and the same</w:t>
      </w:r>
      <w:r w:rsidR="00B46DFB">
        <w:rPr>
          <w:rFonts w:ascii="Calibri Light" w:hAnsi="Calibri Light" w:cs="Calibri Light"/>
        </w:rPr>
        <w:t xml:space="preserve"> </w:t>
      </w:r>
      <w:r w:rsidR="00B46DFB" w:rsidRPr="00B46DFB">
        <w:rPr>
          <w:rFonts w:ascii="Calibri Light" w:hAnsi="Calibri Light" w:cs="Calibri Light"/>
        </w:rPr>
        <w:t>measurement date.</w:t>
      </w:r>
      <w:r w:rsidR="00BE3634">
        <w:rPr>
          <w:rFonts w:ascii="Calibri Light" w:hAnsi="Calibri Light" w:cs="Calibri Light"/>
        </w:rPr>
        <w:t xml:space="preserve"> </w:t>
      </w:r>
      <w:r w:rsidR="00BE3634" w:rsidRPr="00BE3634">
        <w:rPr>
          <w:rFonts w:ascii="Calibri Light" w:hAnsi="Calibri Light" w:cs="Calibri Light"/>
        </w:rPr>
        <w:t>An entity that elects the practical expedient is also required to disclose that election.</w:t>
      </w:r>
      <w:r w:rsidR="00BE3634">
        <w:rPr>
          <w:rFonts w:ascii="Calibri Light" w:hAnsi="Calibri Light" w:cs="Calibri Light"/>
        </w:rPr>
        <w:t xml:space="preserve"> </w:t>
      </w:r>
    </w:p>
    <w:p w14:paraId="53A15EF5" w14:textId="55355B9C" w:rsidR="00DF6B13" w:rsidRDefault="00BE3634" w:rsidP="00B46DFB">
      <w:pPr>
        <w:rPr>
          <w:rFonts w:ascii="Calibri Light" w:hAnsi="Calibri Light" w:cs="Calibri Light"/>
        </w:rPr>
      </w:pPr>
      <w:r>
        <w:rPr>
          <w:rFonts w:ascii="Calibri Light" w:hAnsi="Calibri Light" w:cs="Calibri Light"/>
        </w:rPr>
        <w:t>A</w:t>
      </w:r>
      <w:r w:rsidRPr="00BE3634">
        <w:rPr>
          <w:rFonts w:ascii="Calibri Light" w:hAnsi="Calibri Light" w:cs="Calibri Light"/>
        </w:rPr>
        <w:t>n entity that no longer meets the criteria to be a nonpublic entity would have to reverse the practical expedient’s effect in its historical financial statements. Consequently, before electing the practical expedient in the ASU, nonpublic entities that could become public entities should carefully consider the potential future costs of having to reverse the effect of this relief.</w:t>
      </w:r>
    </w:p>
    <w:p w14:paraId="7CE759D6" w14:textId="67F4A55D" w:rsidR="00C1155C" w:rsidRDefault="00BE3634" w:rsidP="005D7307">
      <w:pPr>
        <w:rPr>
          <w:rFonts w:ascii="Calibri Light" w:hAnsi="Calibri Light" w:cs="Calibri Light"/>
        </w:rPr>
      </w:pPr>
      <w:r w:rsidRPr="00BE3634">
        <w:rPr>
          <w:rFonts w:ascii="Calibri Light" w:hAnsi="Calibri Light" w:cs="Calibri Light"/>
        </w:rPr>
        <w:t xml:space="preserve">The guidance in ASU 2021-07 is effective for nonpublic entities for fiscal years beginning on or after December 15, 2021, and interim periods within fiscal years beginning after December 15, 2022. </w:t>
      </w:r>
      <w:r w:rsidR="005D7307" w:rsidRPr="005D7307">
        <w:rPr>
          <w:rFonts w:ascii="Calibri Light" w:hAnsi="Calibri Light" w:cs="Calibri Light"/>
        </w:rPr>
        <w:t>Early</w:t>
      </w:r>
      <w:r w:rsidR="005D7307">
        <w:rPr>
          <w:rFonts w:ascii="Calibri Light" w:hAnsi="Calibri Light" w:cs="Calibri Light"/>
        </w:rPr>
        <w:t xml:space="preserve"> </w:t>
      </w:r>
      <w:r w:rsidR="005D7307" w:rsidRPr="005D7307">
        <w:rPr>
          <w:rFonts w:ascii="Calibri Light" w:hAnsi="Calibri Light" w:cs="Calibri Light"/>
        </w:rPr>
        <w:t>application, including application in an interim period, is permitted for financial</w:t>
      </w:r>
      <w:r w:rsidR="005D7307">
        <w:rPr>
          <w:rFonts w:ascii="Calibri Light" w:hAnsi="Calibri Light" w:cs="Calibri Light"/>
        </w:rPr>
        <w:t xml:space="preserve"> </w:t>
      </w:r>
      <w:r w:rsidR="005D7307" w:rsidRPr="005D7307">
        <w:rPr>
          <w:rFonts w:ascii="Calibri Light" w:hAnsi="Calibri Light" w:cs="Calibri Light"/>
        </w:rPr>
        <w:t>statements that have not yet been issued or made available for issuance as of</w:t>
      </w:r>
      <w:r w:rsidR="005D7307">
        <w:rPr>
          <w:rFonts w:ascii="Calibri Light" w:hAnsi="Calibri Light" w:cs="Calibri Light"/>
        </w:rPr>
        <w:t xml:space="preserve"> </w:t>
      </w:r>
      <w:r w:rsidR="005D7307" w:rsidRPr="005D7307">
        <w:rPr>
          <w:rFonts w:ascii="Calibri Light" w:hAnsi="Calibri Light" w:cs="Calibri Light"/>
        </w:rPr>
        <w:t>October 25, 2021</w:t>
      </w:r>
      <w:r w:rsidR="009B7A57" w:rsidRPr="009B7A57">
        <w:rPr>
          <w:rFonts w:ascii="Calibri Light" w:hAnsi="Calibri Light" w:cs="Calibri Light"/>
        </w:rPr>
        <w:t>.</w:t>
      </w:r>
    </w:p>
    <w:p w14:paraId="1ED3FF28" w14:textId="56F703C9" w:rsidR="009807EB" w:rsidRDefault="009807EB" w:rsidP="00C1155C">
      <w:pPr>
        <w:rPr>
          <w:rFonts w:ascii="Calibri Light" w:hAnsi="Calibri Light" w:cs="Calibri Light"/>
        </w:rPr>
      </w:pPr>
      <w:r w:rsidRPr="00493116">
        <w:rPr>
          <w:rFonts w:ascii="Calibri Light" w:hAnsi="Calibri Light" w:cs="Calibri Light"/>
        </w:rPr>
        <w:t xml:space="preserve">See Deloitte’s </w:t>
      </w:r>
      <w:r w:rsidR="00BE3634">
        <w:rPr>
          <w:rFonts w:ascii="Calibri Light" w:hAnsi="Calibri Light" w:cs="Calibri Light"/>
        </w:rPr>
        <w:t>October</w:t>
      </w:r>
      <w:r w:rsidRPr="00493116">
        <w:rPr>
          <w:rFonts w:ascii="Calibri Light" w:hAnsi="Calibri Light" w:cs="Calibri Light"/>
        </w:rPr>
        <w:t xml:space="preserve"> </w:t>
      </w:r>
      <w:r>
        <w:rPr>
          <w:rFonts w:ascii="Calibri Light" w:hAnsi="Calibri Light" w:cs="Calibri Light"/>
        </w:rPr>
        <w:t>2</w:t>
      </w:r>
      <w:r w:rsidR="00BE3634">
        <w:rPr>
          <w:rFonts w:ascii="Calibri Light" w:hAnsi="Calibri Light" w:cs="Calibri Light"/>
        </w:rPr>
        <w:t>6</w:t>
      </w:r>
      <w:r w:rsidRPr="00493116">
        <w:rPr>
          <w:rFonts w:ascii="Calibri Light" w:hAnsi="Calibri Light" w:cs="Calibri Light"/>
        </w:rPr>
        <w:t>, 202</w:t>
      </w:r>
      <w:r>
        <w:rPr>
          <w:rFonts w:ascii="Calibri Light" w:hAnsi="Calibri Light" w:cs="Calibri Light"/>
        </w:rPr>
        <w:t>1,</w:t>
      </w:r>
      <w:r w:rsidRPr="00493116">
        <w:rPr>
          <w:rFonts w:ascii="Calibri Light" w:hAnsi="Calibri Light" w:cs="Calibri Light"/>
        </w:rPr>
        <w:t xml:space="preserve"> </w:t>
      </w:r>
      <w:hyperlink r:id="rId11" w:anchor="SL763104425-594971" w:history="1">
        <w:r w:rsidRPr="00BE3634">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sidR="00CA5597">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1</w:t>
      </w:r>
      <w:r w:rsidRPr="00493116">
        <w:rPr>
          <w:rFonts w:ascii="Calibri Light" w:hAnsi="Calibri Light" w:cs="Calibri Light"/>
        </w:rPr>
        <w:t>-0</w:t>
      </w:r>
      <w:r w:rsidR="00BE3634">
        <w:rPr>
          <w:rFonts w:ascii="Calibri Light" w:hAnsi="Calibri Light" w:cs="Calibri Light"/>
        </w:rPr>
        <w:t>7</w:t>
      </w:r>
      <w:r w:rsidRPr="00493116">
        <w:rPr>
          <w:rFonts w:ascii="Calibri Light" w:hAnsi="Calibri Light" w:cs="Calibri Light"/>
        </w:rPr>
        <w:t>.</w:t>
      </w:r>
    </w:p>
    <w:p w14:paraId="66BDAC08" w14:textId="577A69AF" w:rsidR="00D63D2A" w:rsidRPr="00B221A3" w:rsidRDefault="00BF296D" w:rsidP="00D63D2A">
      <w:pPr>
        <w:pStyle w:val="PABulletLink75IND"/>
        <w:numPr>
          <w:ilvl w:val="0"/>
          <w:numId w:val="10"/>
        </w:numPr>
        <w:spacing w:before="0" w:after="240"/>
        <w:ind w:left="270" w:hanging="270"/>
        <w:rPr>
          <w:rStyle w:val="Hyperlink"/>
          <w:rFonts w:ascii="Calibri Light" w:hAnsi="Calibri Light" w:cs="Calibri Light"/>
          <w:b/>
          <w:bCs/>
          <w:i/>
        </w:rPr>
      </w:pPr>
      <w:hyperlink r:id="rId12" w:history="1">
        <w:r w:rsidR="00D63D2A" w:rsidRPr="007C4718">
          <w:rPr>
            <w:rStyle w:val="Hyperlink"/>
            <w:rFonts w:ascii="Calibri Light" w:hAnsi="Calibri Light" w:cs="Calibri Light"/>
            <w:b/>
            <w:bCs/>
            <w:iCs/>
          </w:rPr>
          <w:t>2021-0</w:t>
        </w:r>
        <w:r w:rsidR="00B221A3" w:rsidRPr="007C4718">
          <w:rPr>
            <w:rStyle w:val="Hyperlink"/>
            <w:rFonts w:ascii="Calibri Light" w:hAnsi="Calibri Light" w:cs="Calibri Light"/>
            <w:b/>
            <w:bCs/>
            <w:iCs/>
          </w:rPr>
          <w:t>8</w:t>
        </w:r>
        <w:r w:rsidR="00D63D2A" w:rsidRPr="007C4718">
          <w:rPr>
            <w:rStyle w:val="Hyperlink"/>
            <w:rFonts w:ascii="Calibri Light" w:hAnsi="Calibri Light" w:cs="Calibri Light"/>
            <w:b/>
            <w:bCs/>
            <w:i/>
          </w:rPr>
          <w:t xml:space="preserve"> — </w:t>
        </w:r>
        <w:r w:rsidR="00B221A3" w:rsidRPr="007C4718">
          <w:rPr>
            <w:rStyle w:val="Hyperlink"/>
            <w:rFonts w:ascii="Calibri Light" w:hAnsi="Calibri Light" w:cs="Calibri Light"/>
            <w:b/>
            <w:bCs/>
            <w:i/>
          </w:rPr>
          <w:t>Business Combinations (Topic 805): Accounting for Contract Assets and Contract Liabilities from Contracts with Customers</w:t>
        </w:r>
      </w:hyperlink>
    </w:p>
    <w:bookmarkEnd w:id="3"/>
    <w:p w14:paraId="17332A94" w14:textId="40730582" w:rsidR="007C4718" w:rsidRDefault="007C4718" w:rsidP="002C275A">
      <w:pPr>
        <w:rPr>
          <w:rFonts w:ascii="Calibri Light" w:hAnsi="Calibri Light" w:cs="Calibri Light"/>
        </w:rPr>
      </w:pPr>
      <w:r>
        <w:rPr>
          <w:rFonts w:ascii="Calibri Light" w:hAnsi="Calibri Light" w:cs="Calibri Light"/>
        </w:rPr>
        <w:t>This ASU was issued o</w:t>
      </w:r>
      <w:r w:rsidR="00D63D2A">
        <w:rPr>
          <w:rFonts w:ascii="Calibri Light" w:hAnsi="Calibri Light" w:cs="Calibri Light"/>
        </w:rPr>
        <w:t xml:space="preserve">n </w:t>
      </w:r>
      <w:r w:rsidRPr="007C4718">
        <w:rPr>
          <w:rFonts w:ascii="Calibri Light" w:hAnsi="Calibri Light" w:cs="Calibri Light"/>
        </w:rPr>
        <w:t>October 28, 2021</w:t>
      </w:r>
      <w:r>
        <w:rPr>
          <w:rFonts w:ascii="Calibri Light" w:hAnsi="Calibri Light" w:cs="Calibri Light"/>
        </w:rPr>
        <w:t>.</w:t>
      </w:r>
      <w:r w:rsidR="00B16926">
        <w:rPr>
          <w:rFonts w:ascii="Calibri Light" w:hAnsi="Calibri Light" w:cs="Calibri Light"/>
        </w:rPr>
        <w:t xml:space="preserve"> </w:t>
      </w:r>
      <w:r w:rsidR="002E1B30">
        <w:rPr>
          <w:rFonts w:ascii="Calibri Light" w:hAnsi="Calibri Light" w:cs="Calibri Light"/>
        </w:rPr>
        <w:t xml:space="preserve">The amendments in this ASU </w:t>
      </w:r>
      <w:r w:rsidR="002E1B30" w:rsidRPr="002E1B30">
        <w:rPr>
          <w:rFonts w:ascii="Calibri Light" w:hAnsi="Calibri Light" w:cs="Calibri Light"/>
        </w:rPr>
        <w:t>addresses diversity in practice related to the accounting for revenue contracts with customers acquired in a business combination.</w:t>
      </w:r>
      <w:r w:rsidR="002E1B30">
        <w:rPr>
          <w:rFonts w:ascii="Calibri Light" w:hAnsi="Calibri Light" w:cs="Calibri Light"/>
        </w:rPr>
        <w:t xml:space="preserve"> </w:t>
      </w:r>
      <w:r w:rsidR="00F65AAF">
        <w:rPr>
          <w:rFonts w:ascii="Calibri Light" w:hAnsi="Calibri Light" w:cs="Calibri Light"/>
        </w:rPr>
        <w:t xml:space="preserve">This </w:t>
      </w:r>
      <w:r w:rsidR="00156218">
        <w:rPr>
          <w:rFonts w:ascii="Calibri Light" w:hAnsi="Calibri Light" w:cs="Calibri Light"/>
        </w:rPr>
        <w:t xml:space="preserve">ASU </w:t>
      </w:r>
      <w:r w:rsidR="00B16926" w:rsidRPr="00B16926">
        <w:rPr>
          <w:rFonts w:ascii="Calibri Light" w:hAnsi="Calibri Light" w:cs="Calibri Light"/>
        </w:rPr>
        <w:t xml:space="preserve">amends </w:t>
      </w:r>
      <w:r w:rsidR="00B16926">
        <w:rPr>
          <w:rFonts w:ascii="Calibri Light" w:hAnsi="Calibri Light" w:cs="Calibri Light"/>
        </w:rPr>
        <w:t>Topic</w:t>
      </w:r>
      <w:r w:rsidR="00B16926" w:rsidRPr="00B16926">
        <w:rPr>
          <w:rFonts w:ascii="Calibri Light" w:hAnsi="Calibri Light" w:cs="Calibri Light"/>
        </w:rPr>
        <w:t xml:space="preserve"> 805 to add contract assets and contract liabilities to the list of exceptions to the recognition and measurement principles that apply to business combinations and to </w:t>
      </w:r>
      <w:r w:rsidR="00F65AAF">
        <w:rPr>
          <w:rFonts w:ascii="Calibri Light" w:hAnsi="Calibri Light" w:cs="Calibri Light"/>
        </w:rPr>
        <w:t>"</w:t>
      </w:r>
      <w:r w:rsidR="00B16926" w:rsidRPr="00B16926">
        <w:rPr>
          <w:rFonts w:ascii="Calibri Light" w:hAnsi="Calibri Light" w:cs="Calibri Light"/>
        </w:rPr>
        <w:t xml:space="preserve">require that an entity (acquirer) recognize and measure contract assets and contract liabilities acquired in a business combination in accordance with </w:t>
      </w:r>
      <w:r w:rsidR="00156218" w:rsidRPr="00156218">
        <w:rPr>
          <w:rFonts w:ascii="Calibri Light" w:hAnsi="Calibri Light" w:cs="Calibri Light"/>
        </w:rPr>
        <w:t xml:space="preserve">Revenue </w:t>
      </w:r>
      <w:r w:rsidR="00740A36">
        <w:rPr>
          <w:rFonts w:ascii="Calibri Light" w:hAnsi="Calibri Light" w:cs="Calibri Light"/>
        </w:rPr>
        <w:t>f</w:t>
      </w:r>
      <w:r w:rsidR="00740A36" w:rsidRPr="00156218">
        <w:rPr>
          <w:rFonts w:ascii="Calibri Light" w:hAnsi="Calibri Light" w:cs="Calibri Light"/>
        </w:rPr>
        <w:t xml:space="preserve">rom </w:t>
      </w:r>
      <w:r w:rsidR="00156218" w:rsidRPr="00156218">
        <w:rPr>
          <w:rFonts w:ascii="Calibri Light" w:hAnsi="Calibri Light" w:cs="Calibri Light"/>
        </w:rPr>
        <w:t xml:space="preserve">Contracts </w:t>
      </w:r>
      <w:r w:rsidR="00740A36">
        <w:rPr>
          <w:rFonts w:ascii="Calibri Light" w:hAnsi="Calibri Light" w:cs="Calibri Light"/>
        </w:rPr>
        <w:t>w</w:t>
      </w:r>
      <w:r w:rsidR="00740A36" w:rsidRPr="00156218">
        <w:rPr>
          <w:rFonts w:ascii="Calibri Light" w:hAnsi="Calibri Light" w:cs="Calibri Light"/>
        </w:rPr>
        <w:t xml:space="preserve">ith </w:t>
      </w:r>
      <w:r w:rsidR="00156218" w:rsidRPr="00156218">
        <w:rPr>
          <w:rFonts w:ascii="Calibri Light" w:hAnsi="Calibri Light" w:cs="Calibri Light"/>
        </w:rPr>
        <w:t>Customers (Topic 606)</w:t>
      </w:r>
      <w:r w:rsidR="00156218">
        <w:rPr>
          <w:rFonts w:ascii="Calibri Light" w:hAnsi="Calibri Light" w:cs="Calibri Light"/>
        </w:rPr>
        <w:t>.</w:t>
      </w:r>
      <w:r w:rsidR="00DE7E6B">
        <w:rPr>
          <w:rFonts w:ascii="Calibri Light" w:hAnsi="Calibri Light" w:cs="Calibri Light"/>
        </w:rPr>
        <w:t>”</w:t>
      </w:r>
      <w:r w:rsidR="00B16926" w:rsidRPr="00B16926">
        <w:rPr>
          <w:rFonts w:ascii="Calibri Light" w:hAnsi="Calibri Light" w:cs="Calibri Light"/>
        </w:rPr>
        <w:t xml:space="preserve"> While primarily related to </w:t>
      </w:r>
      <w:r w:rsidR="002C275A" w:rsidRPr="002C275A">
        <w:rPr>
          <w:rFonts w:ascii="Calibri Light" w:hAnsi="Calibri Light" w:cs="Calibri Light"/>
        </w:rPr>
        <w:t>the accounting for contract</w:t>
      </w:r>
      <w:r w:rsidR="002C275A">
        <w:rPr>
          <w:rFonts w:ascii="Calibri Light" w:hAnsi="Calibri Light" w:cs="Calibri Light"/>
        </w:rPr>
        <w:t xml:space="preserve"> </w:t>
      </w:r>
      <w:r w:rsidR="002C275A" w:rsidRPr="002C275A">
        <w:rPr>
          <w:rFonts w:ascii="Calibri Light" w:hAnsi="Calibri Light" w:cs="Calibri Light"/>
        </w:rPr>
        <w:t>assets and contract liabilities from revenue contracts with customers in a business</w:t>
      </w:r>
      <w:r w:rsidR="002C275A">
        <w:rPr>
          <w:rFonts w:ascii="Calibri Light" w:hAnsi="Calibri Light" w:cs="Calibri Light"/>
        </w:rPr>
        <w:t xml:space="preserve"> </w:t>
      </w:r>
      <w:r w:rsidR="002C275A" w:rsidRPr="002C275A">
        <w:rPr>
          <w:rFonts w:ascii="Calibri Light" w:hAnsi="Calibri Light" w:cs="Calibri Light"/>
        </w:rPr>
        <w:t>combination</w:t>
      </w:r>
      <w:r w:rsidR="00B16926" w:rsidRPr="00B16926">
        <w:rPr>
          <w:rFonts w:ascii="Calibri Light" w:hAnsi="Calibri Light" w:cs="Calibri Light"/>
        </w:rPr>
        <w:t>, the amendments also apply to contract assets and contract liabilities from other contracts to which the provisions of Topic 606 apply, such as contract liabilities from the sale of nonfinancial assets within the scope of Subtopic 610-20</w:t>
      </w:r>
      <w:r w:rsidR="002C275A">
        <w:rPr>
          <w:rFonts w:ascii="Calibri Light" w:hAnsi="Calibri Light" w:cs="Calibri Light"/>
        </w:rPr>
        <w:t xml:space="preserve">, </w:t>
      </w:r>
      <w:r w:rsidR="002C275A" w:rsidRPr="00004239">
        <w:rPr>
          <w:rFonts w:ascii="Calibri Light" w:hAnsi="Calibri Light" w:cs="Calibri Light"/>
          <w:i/>
          <w:iCs/>
        </w:rPr>
        <w:t>Other Income—Gains and Losses from the Derecognition of Nonfinancial Assets</w:t>
      </w:r>
      <w:r w:rsidR="00B16926" w:rsidRPr="00B16926">
        <w:rPr>
          <w:rFonts w:ascii="Calibri Light" w:hAnsi="Calibri Light" w:cs="Calibri Light"/>
        </w:rPr>
        <w:t>.</w:t>
      </w:r>
      <w:r w:rsidR="00D63D2A">
        <w:rPr>
          <w:rFonts w:ascii="Calibri Light" w:hAnsi="Calibri Light" w:cs="Calibri Light"/>
        </w:rPr>
        <w:t xml:space="preserve"> </w:t>
      </w:r>
    </w:p>
    <w:p w14:paraId="798659F9" w14:textId="47B35B98" w:rsidR="007C4718" w:rsidRDefault="00B16926" w:rsidP="00B16926">
      <w:pPr>
        <w:rPr>
          <w:rFonts w:ascii="Calibri Light" w:hAnsi="Calibri Light" w:cs="Calibri Light"/>
        </w:rPr>
      </w:pPr>
      <w:r w:rsidRPr="00B16926">
        <w:rPr>
          <w:rFonts w:ascii="Calibri Light" w:hAnsi="Calibri Light" w:cs="Calibri Light"/>
        </w:rPr>
        <w:lastRenderedPageBreak/>
        <w:t xml:space="preserve">To address stakeholder concerns </w:t>
      </w:r>
      <w:r w:rsidR="00DE7E6B">
        <w:rPr>
          <w:rFonts w:ascii="Calibri Light" w:hAnsi="Calibri Light" w:cs="Calibri Light"/>
        </w:rPr>
        <w:t>“</w:t>
      </w:r>
      <w:r w:rsidRPr="00B16926">
        <w:rPr>
          <w:rFonts w:ascii="Calibri Light" w:hAnsi="Calibri Light" w:cs="Calibri Light"/>
        </w:rPr>
        <w:t>about the complexity of the guidance related to circumstances in which (a) the acquirer has to assess long-term, complex contracts that may have been previously modified or (b) the acquirer is unable to assess or rely on the acquiree’s accounting under Topic 606,</w:t>
      </w:r>
      <w:r w:rsidR="00DE7E6B">
        <w:rPr>
          <w:rFonts w:ascii="Calibri Light" w:hAnsi="Calibri Light" w:cs="Calibri Light"/>
        </w:rPr>
        <w:t>”</w:t>
      </w:r>
      <w:r w:rsidRPr="00B16926">
        <w:rPr>
          <w:rFonts w:ascii="Calibri Light" w:hAnsi="Calibri Light" w:cs="Calibri Light"/>
        </w:rPr>
        <w:t xml:space="preserve"> the Board decided to provide certain practical expedients. The first expedient </w:t>
      </w:r>
      <w:r w:rsidR="00DE7E6B">
        <w:rPr>
          <w:rFonts w:ascii="Calibri Light" w:hAnsi="Calibri Light" w:cs="Calibri Light"/>
        </w:rPr>
        <w:t>“</w:t>
      </w:r>
      <w:r w:rsidRPr="00B16926">
        <w:rPr>
          <w:rFonts w:ascii="Calibri Light" w:hAnsi="Calibri Light" w:cs="Calibri Light"/>
        </w:rPr>
        <w:t>provides relief for contracts that have been previously modified before the acquisition date</w:t>
      </w:r>
      <w:r w:rsidR="00DE7E6B">
        <w:rPr>
          <w:rFonts w:ascii="Calibri Light" w:hAnsi="Calibri Light" w:cs="Calibri Light"/>
        </w:rPr>
        <w:t>”</w:t>
      </w:r>
      <w:r w:rsidRPr="00B16926">
        <w:rPr>
          <w:rFonts w:ascii="Calibri Light" w:hAnsi="Calibri Light" w:cs="Calibri Light"/>
        </w:rPr>
        <w:t xml:space="preserve"> by allowing an acquirer to reflect the aggregate effect of all modifications as of the acquisition date. The second expedient provides </w:t>
      </w:r>
      <w:r w:rsidR="00DE7E6B">
        <w:rPr>
          <w:rFonts w:ascii="Calibri Light" w:hAnsi="Calibri Light" w:cs="Calibri Light"/>
        </w:rPr>
        <w:t>“</w:t>
      </w:r>
      <w:r w:rsidRPr="00B16926">
        <w:rPr>
          <w:rFonts w:ascii="Calibri Light" w:hAnsi="Calibri Light" w:cs="Calibri Light"/>
        </w:rPr>
        <w:t>relief for situations in which the acquirer does not have the appropriate data or expertise to analyze the historical periods in which the contract was entered into</w:t>
      </w:r>
      <w:r w:rsidR="00DE7E6B">
        <w:rPr>
          <w:rFonts w:ascii="Calibri Light" w:hAnsi="Calibri Light" w:cs="Calibri Light"/>
        </w:rPr>
        <w:t>”</w:t>
      </w:r>
      <w:r w:rsidRPr="00B16926">
        <w:rPr>
          <w:rFonts w:ascii="Calibri Light" w:hAnsi="Calibri Light" w:cs="Calibri Light"/>
        </w:rPr>
        <w:t xml:space="preserve"> by allowing an acquirer to determine the stand-alone selling price as of the acquisition date. Any practical expedients used by the acquirer should be applied (1) </w:t>
      </w:r>
      <w:r w:rsidR="00DE7E6B">
        <w:rPr>
          <w:rFonts w:ascii="Calibri Light" w:hAnsi="Calibri Light" w:cs="Calibri Light"/>
        </w:rPr>
        <w:t>“</w:t>
      </w:r>
      <w:r w:rsidRPr="00B16926">
        <w:rPr>
          <w:rFonts w:ascii="Calibri Light" w:hAnsi="Calibri Light" w:cs="Calibri Light"/>
        </w:rPr>
        <w:t>on an acquisition-by-acquisition basis</w:t>
      </w:r>
      <w:r w:rsidR="00DE7E6B">
        <w:rPr>
          <w:rFonts w:ascii="Calibri Light" w:hAnsi="Calibri Light" w:cs="Calibri Light"/>
        </w:rPr>
        <w:t>”</w:t>
      </w:r>
      <w:r w:rsidRPr="00B16926">
        <w:rPr>
          <w:rFonts w:ascii="Calibri Light" w:hAnsi="Calibri Light" w:cs="Calibri Light"/>
        </w:rPr>
        <w:t xml:space="preserve"> and (2) </w:t>
      </w:r>
      <w:r w:rsidR="00DE7E6B">
        <w:rPr>
          <w:rFonts w:ascii="Calibri Light" w:hAnsi="Calibri Light" w:cs="Calibri Light"/>
        </w:rPr>
        <w:t>“</w:t>
      </w:r>
      <w:r w:rsidRPr="00B16926">
        <w:rPr>
          <w:rFonts w:ascii="Calibri Light" w:hAnsi="Calibri Light" w:cs="Calibri Light"/>
        </w:rPr>
        <w:t>consistently to all contracts acquired in the same business combination.</w:t>
      </w:r>
      <w:r w:rsidR="00DE7E6B">
        <w:rPr>
          <w:rFonts w:ascii="Calibri Light" w:hAnsi="Calibri Light" w:cs="Calibri Light"/>
        </w:rPr>
        <w:t>”</w:t>
      </w:r>
    </w:p>
    <w:p w14:paraId="5C43BC24" w14:textId="77777777" w:rsidR="00B16926" w:rsidRPr="00B16926" w:rsidRDefault="00B16926" w:rsidP="00B16926">
      <w:pPr>
        <w:rPr>
          <w:rFonts w:ascii="Calibri Light" w:hAnsi="Calibri Light" w:cs="Calibri Light"/>
        </w:rPr>
      </w:pPr>
      <w:r w:rsidRPr="00B16926">
        <w:rPr>
          <w:rFonts w:ascii="Calibri Light" w:hAnsi="Calibri Light" w:cs="Calibri Light"/>
        </w:rPr>
        <w:t>The ASU’s amendments are effective as follows:</w:t>
      </w:r>
    </w:p>
    <w:p w14:paraId="2D95A299" w14:textId="77777777" w:rsidR="00B16926" w:rsidRPr="00B16926" w:rsidRDefault="00B16926" w:rsidP="00004239">
      <w:pPr>
        <w:pStyle w:val="ListParagraph"/>
        <w:numPr>
          <w:ilvl w:val="0"/>
          <w:numId w:val="24"/>
        </w:numPr>
        <w:spacing w:before="240"/>
        <w:contextualSpacing w:val="0"/>
      </w:pPr>
      <w:r w:rsidRPr="00B16926">
        <w:t>For public business entities — Fiscal years beginning after December 15, 2022, including interim periods within those fiscal years.</w:t>
      </w:r>
    </w:p>
    <w:p w14:paraId="41BDA21F" w14:textId="5FC57F64" w:rsidR="00B16926" w:rsidRDefault="00B16926" w:rsidP="00004239">
      <w:pPr>
        <w:pStyle w:val="ListParagraph"/>
        <w:numPr>
          <w:ilvl w:val="0"/>
          <w:numId w:val="24"/>
        </w:numPr>
        <w:spacing w:before="240"/>
        <w:contextualSpacing w:val="0"/>
      </w:pPr>
      <w:r w:rsidRPr="00B16926">
        <w:t>For all other entities — Fiscal years beginning after December 15, 2023, including interim periods within those fiscal years.</w:t>
      </w:r>
    </w:p>
    <w:p w14:paraId="36B51BEF" w14:textId="3D0279F3" w:rsidR="00B16926" w:rsidRDefault="00B16926" w:rsidP="00B16926">
      <w:pPr>
        <w:rPr>
          <w:rFonts w:ascii="Calibri Light" w:hAnsi="Calibri Light" w:cs="Calibri Light"/>
        </w:rPr>
      </w:pPr>
      <w:r w:rsidRPr="00B16926">
        <w:rPr>
          <w:rFonts w:ascii="Calibri Light" w:hAnsi="Calibri Light" w:cs="Calibri Light"/>
        </w:rPr>
        <w:t xml:space="preserve">The amendments should be applied prospectively to business combinations occurring on or after the effective date of the amendments. The ASU clarifies that </w:t>
      </w:r>
      <w:r w:rsidR="005A7ED4">
        <w:rPr>
          <w:rFonts w:ascii="Calibri Light" w:hAnsi="Calibri Light" w:cs="Calibri Light"/>
        </w:rPr>
        <w:t>e</w:t>
      </w:r>
      <w:r w:rsidRPr="00B16926">
        <w:rPr>
          <w:rFonts w:ascii="Calibri Light" w:hAnsi="Calibri Light" w:cs="Calibri Light"/>
        </w:rPr>
        <w:t>arly adoption of the amendments is permitted, including adoption in an interim period. An entity that early adopts in an interim period should apply the amendments (1) retrospectively to all business combinations for which the acquisition date occurs on or after the beginning of the fiscal year that includes the interim period of early application and (2) prospectively to all business combinations that occur on or after the date of initial application.</w:t>
      </w:r>
    </w:p>
    <w:p w14:paraId="3DE49E03" w14:textId="6B5E7B6A" w:rsidR="00B16926" w:rsidRDefault="00B16926" w:rsidP="00B16926">
      <w:pPr>
        <w:rPr>
          <w:rFonts w:ascii="Calibri Light" w:hAnsi="Calibri Light" w:cs="Calibri Light"/>
        </w:rPr>
      </w:pPr>
      <w:r w:rsidRPr="00493116">
        <w:rPr>
          <w:rFonts w:ascii="Calibri Light" w:hAnsi="Calibri Light" w:cs="Calibri Light"/>
        </w:rPr>
        <w:t xml:space="preserve">See Deloitte’s </w:t>
      </w:r>
      <w:r w:rsidRPr="00B16926">
        <w:rPr>
          <w:rFonts w:ascii="Calibri Light" w:hAnsi="Calibri Light" w:cs="Calibri Light"/>
        </w:rPr>
        <w:t>November 2, 2021</w:t>
      </w:r>
      <w:r>
        <w:rPr>
          <w:rFonts w:ascii="Calibri Light" w:hAnsi="Calibri Light" w:cs="Calibri Light"/>
        </w:rPr>
        <w:t>,</w:t>
      </w:r>
      <w:r w:rsidRPr="00493116">
        <w:rPr>
          <w:rFonts w:ascii="Calibri Light" w:hAnsi="Calibri Light" w:cs="Calibri Light"/>
        </w:rPr>
        <w:t xml:space="preserve"> </w:t>
      </w:r>
      <w:hyperlink r:id="rId13" w:history="1">
        <w:r w:rsidRPr="00B16926">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1</w:t>
      </w:r>
      <w:r w:rsidRPr="00493116">
        <w:rPr>
          <w:rFonts w:ascii="Calibri Light" w:hAnsi="Calibri Light" w:cs="Calibri Light"/>
        </w:rPr>
        <w:t>-0</w:t>
      </w:r>
      <w:r>
        <w:rPr>
          <w:rFonts w:ascii="Calibri Light" w:hAnsi="Calibri Light" w:cs="Calibri Light"/>
        </w:rPr>
        <w:t>8</w:t>
      </w:r>
      <w:r w:rsidRPr="00493116">
        <w:rPr>
          <w:rFonts w:ascii="Calibri Light" w:hAnsi="Calibri Light" w:cs="Calibri Light"/>
        </w:rPr>
        <w:t>.</w:t>
      </w:r>
    </w:p>
    <w:p w14:paraId="77B15501" w14:textId="542AFE2F" w:rsidR="00B16926" w:rsidRPr="00B221A3" w:rsidRDefault="00BF296D" w:rsidP="00B16926">
      <w:pPr>
        <w:pStyle w:val="PABulletLink75IND"/>
        <w:numPr>
          <w:ilvl w:val="0"/>
          <w:numId w:val="10"/>
        </w:numPr>
        <w:spacing w:before="0" w:after="240"/>
        <w:ind w:left="270" w:hanging="270"/>
        <w:rPr>
          <w:rStyle w:val="Hyperlink"/>
          <w:rFonts w:ascii="Calibri Light" w:hAnsi="Calibri Light" w:cs="Calibri Light"/>
          <w:b/>
          <w:bCs/>
          <w:i/>
        </w:rPr>
      </w:pPr>
      <w:hyperlink r:id="rId14" w:history="1">
        <w:r w:rsidR="00B16926" w:rsidRPr="00B16926">
          <w:rPr>
            <w:rStyle w:val="Hyperlink"/>
            <w:rFonts w:ascii="Calibri Light" w:hAnsi="Calibri Light" w:cs="Calibri Light"/>
            <w:b/>
            <w:bCs/>
            <w:iCs/>
          </w:rPr>
          <w:t>2021-09</w:t>
        </w:r>
        <w:r w:rsidR="00B16926" w:rsidRPr="00B16926">
          <w:rPr>
            <w:rStyle w:val="Hyperlink"/>
            <w:rFonts w:ascii="Calibri Light" w:hAnsi="Calibri Light" w:cs="Calibri Light"/>
            <w:b/>
            <w:bCs/>
            <w:i/>
          </w:rPr>
          <w:t xml:space="preserve"> — Leases (Topic 842): Discount Rate for Lessees That Are Not Public Business Entities</w:t>
        </w:r>
      </w:hyperlink>
    </w:p>
    <w:p w14:paraId="4438AF25" w14:textId="2A49CB46" w:rsidR="00B16926" w:rsidRDefault="00B16926" w:rsidP="00B16926">
      <w:pPr>
        <w:rPr>
          <w:rFonts w:ascii="Calibri Light" w:hAnsi="Calibri Light" w:cs="Calibri Light"/>
        </w:rPr>
      </w:pPr>
      <w:r w:rsidRPr="00B16926">
        <w:rPr>
          <w:rFonts w:ascii="Calibri Light" w:hAnsi="Calibri Light" w:cs="Calibri Light"/>
        </w:rPr>
        <w:t xml:space="preserve">On November 11, 2021, the </w:t>
      </w:r>
      <w:r w:rsidR="000504BA">
        <w:rPr>
          <w:rFonts w:ascii="Calibri Light" w:hAnsi="Calibri Light" w:cs="Calibri Light"/>
        </w:rPr>
        <w:t>Board</w:t>
      </w:r>
      <w:r w:rsidRPr="00B16926">
        <w:rPr>
          <w:rFonts w:ascii="Calibri Light" w:hAnsi="Calibri Light" w:cs="Calibri Light"/>
        </w:rPr>
        <w:t xml:space="preserve"> issued ASU 2021-09, which allows lessees that are not public business entities (</w:t>
      </w:r>
      <w:proofErr w:type="spellStart"/>
      <w:r w:rsidRPr="00B16926">
        <w:rPr>
          <w:rFonts w:ascii="Calibri Light" w:hAnsi="Calibri Light" w:cs="Calibri Light"/>
        </w:rPr>
        <w:t>PBEs</w:t>
      </w:r>
      <w:proofErr w:type="spellEnd"/>
      <w:r w:rsidRPr="00B16926">
        <w:rPr>
          <w:rFonts w:ascii="Calibri Light" w:hAnsi="Calibri Light" w:cs="Calibri Light"/>
        </w:rPr>
        <w:t>) to make an accounting policy election by class of underlying asset, rather than on an entity-wide basis, to use a risk-free rate as the discount rate when measuring and classifying leases.</w:t>
      </w:r>
    </w:p>
    <w:p w14:paraId="7F97A567" w14:textId="314DFBB5" w:rsidR="00B16926" w:rsidRDefault="00B16926" w:rsidP="00B16926">
      <w:pPr>
        <w:rPr>
          <w:rFonts w:ascii="Calibri Light" w:hAnsi="Calibri Light" w:cs="Calibri Light"/>
        </w:rPr>
      </w:pPr>
      <w:r w:rsidRPr="00B16926">
        <w:rPr>
          <w:rFonts w:ascii="Calibri Light" w:hAnsi="Calibri Light" w:cs="Calibri Light"/>
        </w:rPr>
        <w:t>In addition</w:t>
      </w:r>
      <w:r w:rsidR="003752CE">
        <w:rPr>
          <w:rFonts w:ascii="Calibri Light" w:hAnsi="Calibri Light" w:cs="Calibri Light"/>
        </w:rPr>
        <w:t>,</w:t>
      </w:r>
      <w:r w:rsidRPr="00B16926">
        <w:rPr>
          <w:rFonts w:ascii="Calibri Light" w:hAnsi="Calibri Light" w:cs="Calibri Light"/>
        </w:rPr>
        <w:t xml:space="preserve"> </w:t>
      </w:r>
      <w:r w:rsidR="004763BA">
        <w:rPr>
          <w:rFonts w:ascii="Calibri Light" w:hAnsi="Calibri Light" w:cs="Calibri Light"/>
        </w:rPr>
        <w:t>t</w:t>
      </w:r>
      <w:r w:rsidRPr="00B16926">
        <w:rPr>
          <w:rFonts w:ascii="Calibri Light" w:hAnsi="Calibri Light" w:cs="Calibri Light"/>
        </w:rPr>
        <w:t>he ASU requires lessees to:</w:t>
      </w:r>
    </w:p>
    <w:p w14:paraId="496E7340" w14:textId="1DDDF7D6" w:rsidR="00B16926" w:rsidRPr="00B16926" w:rsidRDefault="00B16926" w:rsidP="00004239">
      <w:pPr>
        <w:pStyle w:val="ListParagraph"/>
        <w:numPr>
          <w:ilvl w:val="0"/>
          <w:numId w:val="25"/>
        </w:numPr>
        <w:spacing w:before="240"/>
        <w:contextualSpacing w:val="0"/>
      </w:pPr>
      <w:r w:rsidRPr="00B16926">
        <w:t>Disclose their election, including the asset class(es) for which they have elected the accounting policy.</w:t>
      </w:r>
    </w:p>
    <w:p w14:paraId="03C4EBFA" w14:textId="6779A049" w:rsidR="00B16926" w:rsidRDefault="00B16926" w:rsidP="00004239">
      <w:pPr>
        <w:pStyle w:val="ListParagraph"/>
        <w:numPr>
          <w:ilvl w:val="0"/>
          <w:numId w:val="25"/>
        </w:numPr>
        <w:spacing w:before="240"/>
        <w:contextualSpacing w:val="0"/>
      </w:pPr>
      <w:r w:rsidRPr="00B16926">
        <w:t>Use the rate implicit in the lease instead of the risk-free rate when the former is readily determinable, regardless of whether the practical expedient has been elected.</w:t>
      </w:r>
    </w:p>
    <w:p w14:paraId="4006FEAA" w14:textId="43D24622" w:rsidR="00DE6BE9" w:rsidRDefault="00DE6BE9" w:rsidP="00DE6BE9">
      <w:pPr>
        <w:rPr>
          <w:rFonts w:ascii="Calibri Light" w:hAnsi="Calibri Light" w:cs="Calibri Light"/>
        </w:rPr>
      </w:pPr>
      <w:r w:rsidRPr="00DE6BE9">
        <w:rPr>
          <w:rFonts w:ascii="Calibri Light" w:hAnsi="Calibri Light" w:cs="Calibri Light"/>
        </w:rPr>
        <w:t>Lessees that have not</w:t>
      </w:r>
      <w:r w:rsidR="00A61FCE">
        <w:rPr>
          <w:rFonts w:ascii="Calibri Light" w:hAnsi="Calibri Light" w:cs="Calibri Light"/>
        </w:rPr>
        <w:t xml:space="preserve"> yet</w:t>
      </w:r>
      <w:r w:rsidRPr="00DE6BE9">
        <w:rPr>
          <w:rFonts w:ascii="Calibri Light" w:hAnsi="Calibri Light" w:cs="Calibri Light"/>
        </w:rPr>
        <w:t xml:space="preserve"> adopted </w:t>
      </w:r>
      <w:r w:rsidR="00A61FCE">
        <w:rPr>
          <w:rFonts w:ascii="Calibri Light" w:hAnsi="Calibri Light" w:cs="Calibri Light"/>
        </w:rPr>
        <w:t>Topic</w:t>
      </w:r>
      <w:r w:rsidRPr="00DE6BE9">
        <w:rPr>
          <w:rFonts w:ascii="Calibri Light" w:hAnsi="Calibri Light" w:cs="Calibri Light"/>
        </w:rPr>
        <w:t xml:space="preserve"> 842 </w:t>
      </w:r>
      <w:r w:rsidR="00A61FCE">
        <w:rPr>
          <w:rFonts w:ascii="Calibri Light" w:hAnsi="Calibri Light" w:cs="Calibri Light"/>
        </w:rPr>
        <w:t>as of</w:t>
      </w:r>
      <w:r w:rsidRPr="00DE6BE9">
        <w:rPr>
          <w:rFonts w:ascii="Calibri Light" w:hAnsi="Calibri Light" w:cs="Calibri Light"/>
        </w:rPr>
        <w:t xml:space="preserve"> November 11, 2021, should apply the transition requirements in ASC 842-10-65-1 when adopting ASU 2021-09. ASU</w:t>
      </w:r>
      <w:r w:rsidR="00A61FCE">
        <w:rPr>
          <w:rFonts w:ascii="Calibri Light" w:hAnsi="Calibri Light" w:cs="Calibri Light"/>
        </w:rPr>
        <w:t xml:space="preserve"> 2021-09</w:t>
      </w:r>
      <w:r w:rsidRPr="00DE6BE9">
        <w:rPr>
          <w:rFonts w:ascii="Calibri Light" w:hAnsi="Calibri Light" w:cs="Calibri Light"/>
        </w:rPr>
        <w:t xml:space="preserve"> should be adopted on the same date on which an entity adopts </w:t>
      </w:r>
      <w:r w:rsidR="00A61FCE">
        <w:rPr>
          <w:rFonts w:ascii="Calibri Light" w:hAnsi="Calibri Light" w:cs="Calibri Light"/>
        </w:rPr>
        <w:t>Topic</w:t>
      </w:r>
      <w:r w:rsidRPr="00DE6BE9">
        <w:rPr>
          <w:rFonts w:ascii="Calibri Light" w:hAnsi="Calibri Light" w:cs="Calibri Light"/>
        </w:rPr>
        <w:t xml:space="preserve"> 842.</w:t>
      </w:r>
    </w:p>
    <w:p w14:paraId="3E624D8C" w14:textId="46FE22B8" w:rsidR="00DE6BE9" w:rsidRDefault="00DE6BE9" w:rsidP="00004239">
      <w:pPr>
        <w:spacing w:before="240"/>
        <w:rPr>
          <w:rFonts w:ascii="Calibri Light" w:hAnsi="Calibri Light" w:cs="Calibri Light"/>
        </w:rPr>
      </w:pPr>
      <w:r w:rsidRPr="00DE6BE9">
        <w:rPr>
          <w:rFonts w:ascii="Calibri Light" w:hAnsi="Calibri Light" w:cs="Calibri Light"/>
        </w:rPr>
        <w:t xml:space="preserve">Lessees that have adopted </w:t>
      </w:r>
      <w:r w:rsidR="00A61FCE">
        <w:rPr>
          <w:rFonts w:ascii="Calibri Light" w:hAnsi="Calibri Light" w:cs="Calibri Light"/>
        </w:rPr>
        <w:t>Topic</w:t>
      </w:r>
      <w:r w:rsidRPr="00DE6BE9">
        <w:rPr>
          <w:rFonts w:ascii="Calibri Light" w:hAnsi="Calibri Light" w:cs="Calibri Light"/>
        </w:rPr>
        <w:t xml:space="preserve"> 842 as of November 11, 2021, should apply the transition requirements </w:t>
      </w:r>
      <w:r w:rsidRPr="00DE6BE9">
        <w:rPr>
          <w:rFonts w:ascii="Calibri Light" w:hAnsi="Calibri Light" w:cs="Calibri Light"/>
        </w:rPr>
        <w:lastRenderedPageBreak/>
        <w:t>below for fiscal years beginning after December 15, 2021 and interim periods within fiscal years beginning after December 15, 2022.</w:t>
      </w:r>
    </w:p>
    <w:p w14:paraId="2A68AECF" w14:textId="1C9743AB" w:rsidR="00DE6BE9" w:rsidRDefault="00DE6BE9" w:rsidP="00004239">
      <w:pPr>
        <w:pStyle w:val="ListParagraph"/>
        <w:numPr>
          <w:ilvl w:val="0"/>
          <w:numId w:val="26"/>
        </w:numPr>
        <w:spacing w:before="240"/>
        <w:contextualSpacing w:val="0"/>
      </w:pPr>
      <w:r w:rsidRPr="00DE6BE9">
        <w:t xml:space="preserve">An entity should apply a modified retrospective transition method to leases affected by the amendments existing as of the beginning of the year of adoption by adjusting the lease liability and corresponding </w:t>
      </w:r>
      <w:r w:rsidR="00BA0A2B" w:rsidRPr="00BA0A2B">
        <w:t>right-of-use</w:t>
      </w:r>
      <w:r w:rsidR="00971B8D">
        <w:t xml:space="preserve"> (</w:t>
      </w:r>
      <w:r w:rsidRPr="00DE6BE9">
        <w:t>ROU</w:t>
      </w:r>
      <w:r w:rsidR="00971B8D">
        <w:t>)</w:t>
      </w:r>
      <w:r w:rsidRPr="00DE6BE9">
        <w:t xml:space="preserve"> asset at the beginning of the fiscal year in which the ASU is adopted.</w:t>
      </w:r>
    </w:p>
    <w:p w14:paraId="016FD39E" w14:textId="298B5B87" w:rsidR="00DE6BE9" w:rsidRDefault="00DE6BE9" w:rsidP="00004239">
      <w:pPr>
        <w:pStyle w:val="ListParagraph"/>
        <w:numPr>
          <w:ilvl w:val="0"/>
          <w:numId w:val="26"/>
        </w:numPr>
        <w:spacing w:before="240"/>
        <w:contextualSpacing w:val="0"/>
      </w:pPr>
      <w:r w:rsidRPr="00DE6BE9">
        <w:t>When adopting the ASU, an entity is not permitted to:</w:t>
      </w:r>
    </w:p>
    <w:p w14:paraId="7E157757" w14:textId="77777777" w:rsidR="00DE6BE9" w:rsidRDefault="00DE6BE9" w:rsidP="00004239">
      <w:pPr>
        <w:pStyle w:val="ListParagraph"/>
        <w:numPr>
          <w:ilvl w:val="0"/>
          <w:numId w:val="34"/>
        </w:numPr>
        <w:spacing w:before="240"/>
        <w:contextualSpacing w:val="0"/>
      </w:pPr>
      <w:r>
        <w:t>Remeasure and reallocate the consideration in the contract.</w:t>
      </w:r>
    </w:p>
    <w:p w14:paraId="18904842" w14:textId="77777777" w:rsidR="00DE6BE9" w:rsidRDefault="00DE6BE9" w:rsidP="00004239">
      <w:pPr>
        <w:pStyle w:val="ListParagraph"/>
        <w:numPr>
          <w:ilvl w:val="0"/>
          <w:numId w:val="34"/>
        </w:numPr>
        <w:spacing w:before="240"/>
        <w:contextualSpacing w:val="0"/>
      </w:pPr>
      <w:r>
        <w:t>Reassess the lease term or a lessee’s election to exercise a purchase option on the underlying asset.</w:t>
      </w:r>
    </w:p>
    <w:p w14:paraId="7230C4FF" w14:textId="77777777" w:rsidR="00DE6BE9" w:rsidRDefault="00DE6BE9" w:rsidP="00004239">
      <w:pPr>
        <w:pStyle w:val="ListParagraph"/>
        <w:numPr>
          <w:ilvl w:val="0"/>
          <w:numId w:val="34"/>
        </w:numPr>
        <w:spacing w:before="240"/>
        <w:contextualSpacing w:val="0"/>
      </w:pPr>
      <w:r>
        <w:t>Remeasure the lease payments.</w:t>
      </w:r>
    </w:p>
    <w:p w14:paraId="62431F3C" w14:textId="1EBB7932" w:rsidR="00DE6BE9" w:rsidRDefault="00DE6BE9" w:rsidP="00004239">
      <w:pPr>
        <w:pStyle w:val="ListParagraph"/>
        <w:numPr>
          <w:ilvl w:val="0"/>
          <w:numId w:val="34"/>
        </w:numPr>
        <w:spacing w:before="240"/>
        <w:contextualSpacing w:val="0"/>
      </w:pPr>
      <w:r>
        <w:t>Reassess lease classification.</w:t>
      </w:r>
    </w:p>
    <w:p w14:paraId="19254896" w14:textId="6A2E0E1F" w:rsidR="00DE6BE9" w:rsidRDefault="00DE6BE9" w:rsidP="00004239">
      <w:pPr>
        <w:pStyle w:val="ListParagraph"/>
        <w:numPr>
          <w:ilvl w:val="0"/>
          <w:numId w:val="26"/>
        </w:numPr>
        <w:spacing w:before="240"/>
        <w:contextualSpacing w:val="0"/>
      </w:pPr>
      <w:r w:rsidRPr="00DE6BE9">
        <w:t>The following must be disclosed as of the beginning of the year of adoption:</w:t>
      </w:r>
    </w:p>
    <w:p w14:paraId="2D4246B9" w14:textId="77777777" w:rsidR="00DE6BE9" w:rsidRDefault="00DE6BE9" w:rsidP="00004239">
      <w:pPr>
        <w:pStyle w:val="ListParagraph"/>
        <w:numPr>
          <w:ilvl w:val="0"/>
          <w:numId w:val="35"/>
        </w:numPr>
        <w:spacing w:before="240"/>
        <w:contextualSpacing w:val="0"/>
      </w:pPr>
      <w:r>
        <w:t>The applicable disclosures in ASC 250-10-50-1(a) and ASC 250-10-50-1(b)(3).</w:t>
      </w:r>
    </w:p>
    <w:p w14:paraId="03E0B3FA" w14:textId="3A16C043" w:rsidR="00DE6BE9" w:rsidRDefault="00DE6BE9" w:rsidP="00004239">
      <w:pPr>
        <w:pStyle w:val="ListParagraph"/>
        <w:numPr>
          <w:ilvl w:val="0"/>
          <w:numId w:val="35"/>
        </w:numPr>
        <w:spacing w:before="240"/>
        <w:contextualSpacing w:val="0"/>
      </w:pPr>
      <w:r>
        <w:t>The amount of the change in the lease liability and the corresponding ROU asset resulting from the adoption of the ASU.</w:t>
      </w:r>
    </w:p>
    <w:p w14:paraId="15DA9FC3" w14:textId="1B5588BD" w:rsidR="00DE6BE9" w:rsidRDefault="00DE6BE9" w:rsidP="00DE6BE9">
      <w:pPr>
        <w:rPr>
          <w:rFonts w:ascii="Calibri Light" w:hAnsi="Calibri Light" w:cs="Calibri Light"/>
        </w:rPr>
      </w:pPr>
      <w:r w:rsidRPr="00DE6BE9">
        <w:rPr>
          <w:rFonts w:ascii="Calibri Light" w:hAnsi="Calibri Light" w:cs="Calibri Light"/>
        </w:rPr>
        <w:t xml:space="preserve">Early adoption of ASU 2021-09 is permitted, as long as an entity does not adopt the ASU before adopting </w:t>
      </w:r>
      <w:r w:rsidR="00971B8D">
        <w:rPr>
          <w:rFonts w:ascii="Calibri Light" w:hAnsi="Calibri Light" w:cs="Calibri Light"/>
        </w:rPr>
        <w:t>Topic</w:t>
      </w:r>
      <w:r w:rsidRPr="00DE6BE9">
        <w:rPr>
          <w:rFonts w:ascii="Calibri Light" w:hAnsi="Calibri Light" w:cs="Calibri Light"/>
        </w:rPr>
        <w:t xml:space="preserve"> 842.</w:t>
      </w:r>
    </w:p>
    <w:p w14:paraId="2244E6CB" w14:textId="6090E791" w:rsidR="00DE6BE9" w:rsidRDefault="00DE6BE9" w:rsidP="00DE6BE9">
      <w:pPr>
        <w:rPr>
          <w:rFonts w:ascii="Calibri Light" w:hAnsi="Calibri Light" w:cs="Calibri Light"/>
        </w:rPr>
      </w:pPr>
      <w:r w:rsidRPr="00493116">
        <w:rPr>
          <w:rFonts w:ascii="Calibri Light" w:hAnsi="Calibri Light" w:cs="Calibri Light"/>
        </w:rPr>
        <w:t xml:space="preserve">See Deloitte’s </w:t>
      </w:r>
      <w:r w:rsidRPr="00DE6BE9">
        <w:rPr>
          <w:rFonts w:ascii="Calibri Light" w:hAnsi="Calibri Light" w:cs="Calibri Light"/>
        </w:rPr>
        <w:t>November 12, 2021</w:t>
      </w:r>
      <w:r>
        <w:rPr>
          <w:rFonts w:ascii="Calibri Light" w:hAnsi="Calibri Light" w:cs="Calibri Light"/>
        </w:rPr>
        <w:t>,</w:t>
      </w:r>
      <w:r w:rsidRPr="00493116">
        <w:rPr>
          <w:rFonts w:ascii="Calibri Light" w:hAnsi="Calibri Light" w:cs="Calibri Light"/>
        </w:rPr>
        <w:t xml:space="preserve"> </w:t>
      </w:r>
      <w:hyperlink r:id="rId15" w:history="1">
        <w:r w:rsidRPr="00DE6BE9">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1</w:t>
      </w:r>
      <w:r w:rsidRPr="00493116">
        <w:rPr>
          <w:rFonts w:ascii="Calibri Light" w:hAnsi="Calibri Light" w:cs="Calibri Light"/>
        </w:rPr>
        <w:t>-0</w:t>
      </w:r>
      <w:r>
        <w:rPr>
          <w:rFonts w:ascii="Calibri Light" w:hAnsi="Calibri Light" w:cs="Calibri Light"/>
        </w:rPr>
        <w:t>9</w:t>
      </w:r>
      <w:r w:rsidRPr="00493116">
        <w:rPr>
          <w:rFonts w:ascii="Calibri Light" w:hAnsi="Calibri Light" w:cs="Calibri Light"/>
        </w:rPr>
        <w:t>.</w:t>
      </w:r>
    </w:p>
    <w:p w14:paraId="74A328AD" w14:textId="53FD6FFD" w:rsidR="00DE6BE9" w:rsidRPr="00B221A3" w:rsidRDefault="00BF296D" w:rsidP="00DE6BE9">
      <w:pPr>
        <w:pStyle w:val="PABulletLink75IND"/>
        <w:numPr>
          <w:ilvl w:val="0"/>
          <w:numId w:val="10"/>
        </w:numPr>
        <w:spacing w:before="0" w:after="240"/>
        <w:ind w:left="270" w:hanging="270"/>
        <w:rPr>
          <w:rStyle w:val="Hyperlink"/>
          <w:rFonts w:ascii="Calibri Light" w:hAnsi="Calibri Light" w:cs="Calibri Light"/>
          <w:b/>
          <w:bCs/>
          <w:i/>
        </w:rPr>
      </w:pPr>
      <w:hyperlink r:id="rId16" w:history="1">
        <w:r w:rsidR="00DE6BE9" w:rsidRPr="00DE6BE9">
          <w:rPr>
            <w:rStyle w:val="Hyperlink"/>
            <w:rFonts w:ascii="Calibri Light" w:hAnsi="Calibri Light" w:cs="Calibri Light"/>
            <w:b/>
            <w:bCs/>
            <w:iCs/>
          </w:rPr>
          <w:t>2021-</w:t>
        </w:r>
        <w:r w:rsidR="00DE6BE9">
          <w:rPr>
            <w:rStyle w:val="Hyperlink"/>
            <w:rFonts w:ascii="Calibri Light" w:hAnsi="Calibri Light" w:cs="Calibri Light"/>
            <w:b/>
            <w:bCs/>
            <w:iCs/>
          </w:rPr>
          <w:t>10</w:t>
        </w:r>
        <w:r w:rsidR="00DE6BE9" w:rsidRPr="00DE6BE9">
          <w:rPr>
            <w:rStyle w:val="Hyperlink"/>
            <w:rFonts w:ascii="Calibri Light" w:hAnsi="Calibri Light" w:cs="Calibri Light"/>
            <w:b/>
            <w:bCs/>
            <w:i/>
          </w:rPr>
          <w:t xml:space="preserve"> — Government Assistance (Topic 832): Disclosures by Business Entities about Government Assistance</w:t>
        </w:r>
      </w:hyperlink>
    </w:p>
    <w:p w14:paraId="3E739C5B" w14:textId="2DA9F4A6" w:rsidR="00DE6BE9" w:rsidRDefault="000504BA" w:rsidP="00576C86">
      <w:pPr>
        <w:rPr>
          <w:rFonts w:ascii="Calibri Light" w:hAnsi="Calibri Light" w:cs="Calibri Light"/>
        </w:rPr>
      </w:pPr>
      <w:r w:rsidRPr="000504BA">
        <w:rPr>
          <w:rFonts w:ascii="Calibri Light" w:hAnsi="Calibri Light" w:cs="Calibri Light"/>
        </w:rPr>
        <w:t xml:space="preserve">On November 17, 2021, the </w:t>
      </w:r>
      <w:r>
        <w:rPr>
          <w:rFonts w:ascii="Calibri Light" w:hAnsi="Calibri Light" w:cs="Calibri Light"/>
        </w:rPr>
        <w:t>Board</w:t>
      </w:r>
      <w:r w:rsidRPr="000504BA">
        <w:rPr>
          <w:rFonts w:ascii="Calibri Light" w:hAnsi="Calibri Light" w:cs="Calibri Light"/>
        </w:rPr>
        <w:t xml:space="preserve"> issued ASU 2021-10, which requires business entities to provide certain disclosures when they (1) have received government assistance and (2) use a grant or contribution accounting model by analogy to other accounting guidance (e.g., a grant model under IAS 20</w:t>
      </w:r>
      <w:r w:rsidR="00576C86">
        <w:rPr>
          <w:rFonts w:ascii="Calibri Light" w:hAnsi="Calibri Light" w:cs="Calibri Light"/>
        </w:rPr>
        <w:t xml:space="preserve">, </w:t>
      </w:r>
      <w:r w:rsidR="00576C86" w:rsidRPr="00004239">
        <w:rPr>
          <w:rFonts w:ascii="Calibri Light" w:hAnsi="Calibri Light" w:cs="Calibri Light"/>
          <w:i/>
          <w:iCs/>
        </w:rPr>
        <w:t>Accounting for Government Grants and Disclosure of Government Assistance</w:t>
      </w:r>
      <w:r w:rsidR="004E1239">
        <w:rPr>
          <w:rFonts w:ascii="Calibri Light" w:hAnsi="Calibri Light" w:cs="Calibri Light"/>
        </w:rPr>
        <w:t>,</w:t>
      </w:r>
      <w:r w:rsidRPr="000504BA">
        <w:rPr>
          <w:rFonts w:ascii="Calibri Light" w:hAnsi="Calibri Light" w:cs="Calibri Light"/>
        </w:rPr>
        <w:t xml:space="preserve"> or ASC 958-605</w:t>
      </w:r>
      <w:r w:rsidR="00576C86">
        <w:rPr>
          <w:rFonts w:ascii="Calibri Light" w:hAnsi="Calibri Light" w:cs="Calibri Light"/>
        </w:rPr>
        <w:t xml:space="preserve">, </w:t>
      </w:r>
      <w:r w:rsidR="00576C86" w:rsidRPr="00004239">
        <w:rPr>
          <w:rFonts w:ascii="Calibri Light" w:hAnsi="Calibri Light" w:cs="Calibri Light"/>
          <w:i/>
          <w:iCs/>
        </w:rPr>
        <w:t>Not-For-Profit Entities</w:t>
      </w:r>
      <w:r w:rsidR="007701AF">
        <w:rPr>
          <w:rFonts w:ascii="Calibri Light" w:hAnsi="Calibri Light" w:cs="Calibri Light"/>
          <w:i/>
          <w:iCs/>
        </w:rPr>
        <w:t xml:space="preserve"> </w:t>
      </w:r>
      <w:r w:rsidR="00576C86" w:rsidRPr="00004239">
        <w:rPr>
          <w:rFonts w:ascii="Calibri Light" w:hAnsi="Calibri Light" w:cs="Calibri Light"/>
          <w:i/>
          <w:iCs/>
        </w:rPr>
        <w:t>—</w:t>
      </w:r>
      <w:r w:rsidR="007701AF">
        <w:rPr>
          <w:rFonts w:ascii="Calibri Light" w:hAnsi="Calibri Light" w:cs="Calibri Light"/>
          <w:i/>
          <w:iCs/>
        </w:rPr>
        <w:t xml:space="preserve"> </w:t>
      </w:r>
      <w:r w:rsidR="00576C86" w:rsidRPr="00004239">
        <w:rPr>
          <w:rFonts w:ascii="Calibri Light" w:hAnsi="Calibri Light" w:cs="Calibri Light"/>
          <w:i/>
          <w:iCs/>
        </w:rPr>
        <w:t>Revenue Recognition</w:t>
      </w:r>
      <w:r w:rsidRPr="000504BA">
        <w:rPr>
          <w:rFonts w:ascii="Calibri Light" w:hAnsi="Calibri Light" w:cs="Calibri Light"/>
        </w:rPr>
        <w:t>).</w:t>
      </w:r>
    </w:p>
    <w:p w14:paraId="67321FB0" w14:textId="7A8843A4" w:rsidR="002D4165" w:rsidRDefault="002D4165" w:rsidP="002D4165">
      <w:pPr>
        <w:rPr>
          <w:rFonts w:ascii="Calibri Light" w:hAnsi="Calibri Light" w:cs="Calibri Light"/>
        </w:rPr>
      </w:pPr>
      <w:r w:rsidRPr="002D4165">
        <w:rPr>
          <w:rFonts w:ascii="Calibri Light" w:hAnsi="Calibri Light" w:cs="Calibri Light"/>
        </w:rPr>
        <w:t>The ASU create</w:t>
      </w:r>
      <w:r>
        <w:rPr>
          <w:rFonts w:ascii="Calibri Light" w:hAnsi="Calibri Light" w:cs="Calibri Light"/>
        </w:rPr>
        <w:t>d</w:t>
      </w:r>
      <w:r w:rsidRPr="002D4165">
        <w:rPr>
          <w:rFonts w:ascii="Calibri Light" w:hAnsi="Calibri Light" w:cs="Calibri Light"/>
        </w:rPr>
        <w:t xml:space="preserve"> </w:t>
      </w:r>
      <w:r>
        <w:rPr>
          <w:rFonts w:ascii="Calibri Light" w:hAnsi="Calibri Light" w:cs="Calibri Light"/>
        </w:rPr>
        <w:t>Topic</w:t>
      </w:r>
      <w:r w:rsidRPr="002D4165">
        <w:rPr>
          <w:rFonts w:ascii="Calibri Light" w:hAnsi="Calibri Light" w:cs="Calibri Light"/>
        </w:rPr>
        <w:t xml:space="preserve"> 832 (on government assistance). </w:t>
      </w:r>
      <w:r>
        <w:rPr>
          <w:rFonts w:ascii="Calibri Light" w:hAnsi="Calibri Light" w:cs="Calibri Light"/>
        </w:rPr>
        <w:t xml:space="preserve">Topic 832 </w:t>
      </w:r>
      <w:r w:rsidRPr="002D4165">
        <w:rPr>
          <w:rFonts w:ascii="Calibri Light" w:hAnsi="Calibri Light" w:cs="Calibri Light"/>
        </w:rPr>
        <w:t>require</w:t>
      </w:r>
      <w:r w:rsidR="007701AF">
        <w:rPr>
          <w:rFonts w:ascii="Calibri Light" w:hAnsi="Calibri Light" w:cs="Calibri Light"/>
        </w:rPr>
        <w:t>s</w:t>
      </w:r>
      <w:r w:rsidRPr="002D4165">
        <w:rPr>
          <w:rFonts w:ascii="Calibri Light" w:hAnsi="Calibri Light" w:cs="Calibri Light"/>
        </w:rPr>
        <w:t xml:space="preserve"> the following annual</w:t>
      </w:r>
      <w:r>
        <w:rPr>
          <w:rFonts w:ascii="Calibri Light" w:hAnsi="Calibri Light" w:cs="Calibri Light"/>
        </w:rPr>
        <w:t xml:space="preserve"> </w:t>
      </w:r>
      <w:r w:rsidRPr="002D4165">
        <w:rPr>
          <w:rFonts w:ascii="Calibri Light" w:hAnsi="Calibri Light" w:cs="Calibri Light"/>
        </w:rPr>
        <w:t>disclosures about</w:t>
      </w:r>
      <w:r>
        <w:rPr>
          <w:rFonts w:ascii="Calibri Light" w:hAnsi="Calibri Light" w:cs="Calibri Light"/>
        </w:rPr>
        <w:t xml:space="preserve"> </w:t>
      </w:r>
      <w:r w:rsidRPr="002D4165">
        <w:rPr>
          <w:rFonts w:ascii="Calibri Light" w:hAnsi="Calibri Light" w:cs="Calibri Light"/>
        </w:rPr>
        <w:t>transactions with a government that are accounted for by applying a grant or</w:t>
      </w:r>
      <w:r>
        <w:rPr>
          <w:rFonts w:ascii="Calibri Light" w:hAnsi="Calibri Light" w:cs="Calibri Light"/>
        </w:rPr>
        <w:t xml:space="preserve"> </w:t>
      </w:r>
      <w:r w:rsidRPr="002D4165">
        <w:rPr>
          <w:rFonts w:ascii="Calibri Light" w:hAnsi="Calibri Light" w:cs="Calibri Light"/>
        </w:rPr>
        <w:t>contribution accounting model by analogy:</w:t>
      </w:r>
    </w:p>
    <w:p w14:paraId="411CE07A" w14:textId="74D94FB4" w:rsidR="002D4165" w:rsidRPr="002D4165" w:rsidRDefault="002D4165" w:rsidP="00004239">
      <w:pPr>
        <w:pStyle w:val="ListParagraph"/>
        <w:numPr>
          <w:ilvl w:val="0"/>
          <w:numId w:val="33"/>
        </w:numPr>
        <w:spacing w:before="240"/>
        <w:contextualSpacing w:val="0"/>
      </w:pPr>
      <w:r>
        <w:t>Information about the nature of the transactions and the related accounting policy used to account for the transactions</w:t>
      </w:r>
      <w:r w:rsidRPr="002D4165">
        <w:t>.</w:t>
      </w:r>
    </w:p>
    <w:p w14:paraId="0BDC756D" w14:textId="0B58D4AC" w:rsidR="002D4165" w:rsidRPr="002D4165" w:rsidRDefault="002D4165" w:rsidP="00004239">
      <w:pPr>
        <w:pStyle w:val="ListParagraph"/>
        <w:numPr>
          <w:ilvl w:val="0"/>
          <w:numId w:val="33"/>
        </w:numPr>
        <w:spacing w:before="240"/>
        <w:contextualSpacing w:val="0"/>
      </w:pPr>
      <w:r>
        <w:t xml:space="preserve">The line items on the balance sheet and income statement that are affected by the transactions, </w:t>
      </w:r>
      <w:r>
        <w:lastRenderedPageBreak/>
        <w:t>and the amounts applicable to each financial statement line item</w:t>
      </w:r>
      <w:r w:rsidRPr="002D4165">
        <w:t>.</w:t>
      </w:r>
    </w:p>
    <w:p w14:paraId="64590D8A" w14:textId="08590EFE" w:rsidR="002D4165" w:rsidRDefault="002D4165" w:rsidP="00004239">
      <w:pPr>
        <w:pStyle w:val="ListParagraph"/>
        <w:numPr>
          <w:ilvl w:val="0"/>
          <w:numId w:val="33"/>
        </w:numPr>
        <w:spacing w:before="240"/>
        <w:contextualSpacing w:val="0"/>
      </w:pPr>
      <w:r>
        <w:t>Significant terms and conditions of the transactions, including commitments and contingencies</w:t>
      </w:r>
      <w:r w:rsidRPr="002D4165">
        <w:t>.</w:t>
      </w:r>
    </w:p>
    <w:p w14:paraId="407BDCF5" w14:textId="5279A1C6" w:rsidR="000504BA" w:rsidRDefault="000504BA" w:rsidP="00DE6BE9">
      <w:pPr>
        <w:rPr>
          <w:rFonts w:ascii="Calibri Light" w:hAnsi="Calibri Light" w:cs="Calibri Light"/>
        </w:rPr>
      </w:pPr>
      <w:r w:rsidRPr="000504BA">
        <w:rPr>
          <w:rFonts w:ascii="Calibri Light" w:hAnsi="Calibri Light" w:cs="Calibri Light"/>
        </w:rPr>
        <w:t>The guidance in ASU 2021-10 is effective for all entities for fiscal years beginning after December 15, 2021. Entities may apply the ASU’s provisions either (1) prospectively to all transactions within the scope of ASC 832 that are reflected in the financial statements as of the adoption date and all new transactions entered into after the date of adoption or (2) retrospectively. Early adoption is permitted.</w:t>
      </w:r>
    </w:p>
    <w:p w14:paraId="294A4FAD" w14:textId="779C50B3" w:rsidR="00DE6BE9" w:rsidRPr="00DE6BE9" w:rsidRDefault="00DE6BE9" w:rsidP="00DE6BE9">
      <w:pPr>
        <w:rPr>
          <w:rFonts w:ascii="Calibri Light" w:hAnsi="Calibri Light" w:cs="Calibri Light"/>
        </w:rPr>
      </w:pPr>
      <w:r w:rsidRPr="00493116">
        <w:rPr>
          <w:rFonts w:ascii="Calibri Light" w:hAnsi="Calibri Light" w:cs="Calibri Light"/>
        </w:rPr>
        <w:t xml:space="preserve">See Deloitte’s </w:t>
      </w:r>
      <w:r w:rsidRPr="00DE6BE9">
        <w:rPr>
          <w:rFonts w:ascii="Calibri Light" w:hAnsi="Calibri Light" w:cs="Calibri Light"/>
        </w:rPr>
        <w:t>December 3, 2021</w:t>
      </w:r>
      <w:r>
        <w:rPr>
          <w:rFonts w:ascii="Calibri Light" w:hAnsi="Calibri Light" w:cs="Calibri Light"/>
        </w:rPr>
        <w:t>,</w:t>
      </w:r>
      <w:r w:rsidRPr="00493116">
        <w:rPr>
          <w:rFonts w:ascii="Calibri Light" w:hAnsi="Calibri Light" w:cs="Calibri Light"/>
        </w:rPr>
        <w:t xml:space="preserve"> </w:t>
      </w:r>
      <w:hyperlink r:id="rId17" w:history="1">
        <w:r w:rsidRPr="00DE6BE9">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1</w:t>
      </w:r>
      <w:r w:rsidRPr="00493116">
        <w:rPr>
          <w:rFonts w:ascii="Calibri Light" w:hAnsi="Calibri Light" w:cs="Calibri Light"/>
        </w:rPr>
        <w:t>-</w:t>
      </w:r>
      <w:r>
        <w:rPr>
          <w:rFonts w:ascii="Calibri Light" w:hAnsi="Calibri Light" w:cs="Calibri Light"/>
        </w:rPr>
        <w:t>1</w:t>
      </w:r>
      <w:r w:rsidRPr="00493116">
        <w:rPr>
          <w:rFonts w:ascii="Calibri Light" w:hAnsi="Calibri Light" w:cs="Calibri Light"/>
        </w:rPr>
        <w:t>0.</w:t>
      </w:r>
    </w:p>
    <w:p w14:paraId="5C98977A" w14:textId="1DF86079" w:rsidR="00986C9E" w:rsidRPr="0068337C" w:rsidRDefault="00EE0128" w:rsidP="00EF6CC8">
      <w:pPr>
        <w:keepNext/>
        <w:rPr>
          <w:rFonts w:ascii="Calibri Light" w:hAnsi="Calibri Light" w:cs="Calibri Light"/>
          <w:b/>
          <w:bCs/>
          <w:sz w:val="28"/>
          <w:szCs w:val="28"/>
        </w:rPr>
      </w:pPr>
      <w:r w:rsidRPr="0068337C">
        <w:rPr>
          <w:rFonts w:ascii="Calibri Light" w:hAnsi="Calibri Light" w:cs="Calibri Light"/>
          <w:b/>
          <w:bCs/>
          <w:sz w:val="28"/>
          <w:szCs w:val="28"/>
        </w:rPr>
        <w:t xml:space="preserve">Changes Reflected in the </w:t>
      </w:r>
      <w:r w:rsidR="0042616E" w:rsidRPr="0068337C">
        <w:rPr>
          <w:rFonts w:ascii="Calibri Light" w:hAnsi="Calibri Light" w:cs="Calibri Light"/>
          <w:b/>
          <w:bCs/>
          <w:sz w:val="28"/>
          <w:szCs w:val="28"/>
        </w:rPr>
        <w:t>U.S</w:t>
      </w:r>
      <w:r w:rsidR="00435B49" w:rsidRPr="0068337C">
        <w:rPr>
          <w:rFonts w:ascii="Calibri Light" w:hAnsi="Calibri Light" w:cs="Calibri Light"/>
          <w:b/>
          <w:bCs/>
          <w:sz w:val="28"/>
          <w:szCs w:val="28"/>
        </w:rPr>
        <w:t>.</w:t>
      </w:r>
      <w:r w:rsidR="0042616E" w:rsidRPr="0068337C">
        <w:rPr>
          <w:rFonts w:ascii="Calibri Light" w:hAnsi="Calibri Light" w:cs="Calibri Light"/>
          <w:b/>
          <w:bCs/>
          <w:sz w:val="28"/>
          <w:szCs w:val="28"/>
        </w:rPr>
        <w:t xml:space="preserve"> GAAP </w:t>
      </w:r>
      <w:r w:rsidRPr="0068337C">
        <w:rPr>
          <w:rFonts w:ascii="Calibri Light" w:hAnsi="Calibri Light" w:cs="Calibri Light"/>
          <w:b/>
          <w:bCs/>
          <w:sz w:val="28"/>
          <w:szCs w:val="28"/>
        </w:rPr>
        <w:t>Checklist</w:t>
      </w:r>
      <w:r w:rsidR="0042616E" w:rsidRPr="0068337C">
        <w:rPr>
          <w:rFonts w:ascii="Calibri Light" w:hAnsi="Calibri Light" w:cs="Calibri Light"/>
          <w:b/>
          <w:bCs/>
          <w:sz w:val="28"/>
          <w:szCs w:val="28"/>
        </w:rPr>
        <w:t xml:space="preserve"> </w:t>
      </w:r>
      <w:r w:rsidR="00C130F3" w:rsidRPr="0068337C">
        <w:rPr>
          <w:rFonts w:ascii="Calibri Light" w:hAnsi="Calibri Light" w:cs="Calibri Light"/>
          <w:b/>
          <w:bCs/>
          <w:sz w:val="28"/>
          <w:szCs w:val="28"/>
        </w:rPr>
        <w:t>and Codification</w:t>
      </w:r>
    </w:p>
    <w:p w14:paraId="7D36C3BE" w14:textId="4D99FB01" w:rsidR="001A19EF" w:rsidRDefault="001A19EF" w:rsidP="00EA1E1F">
      <w:pPr>
        <w:rPr>
          <w:rFonts w:ascii="Calibri Light" w:hAnsi="Calibri Light" w:cs="Calibri Light"/>
        </w:rPr>
      </w:pPr>
      <w:r w:rsidRPr="00493116">
        <w:rPr>
          <w:rFonts w:ascii="Calibri Light" w:hAnsi="Calibri Light" w:cs="Calibri Light"/>
        </w:rPr>
        <w:t>When the FASB amends the Codification with an ASU, each paragraph that was amended by the ASU is left unchanged (for entities that have not adopted the ASU)</w:t>
      </w:r>
      <w:r w:rsidR="001D62FD">
        <w:rPr>
          <w:rFonts w:ascii="Calibri Light" w:hAnsi="Calibri Light" w:cs="Calibri Light"/>
        </w:rPr>
        <w:t>,</w:t>
      </w:r>
      <w:r w:rsidRPr="00493116">
        <w:rPr>
          <w:rFonts w:ascii="Calibri Light" w:hAnsi="Calibri Light" w:cs="Calibri Light"/>
        </w:rPr>
        <w:t xml:space="preserve"> but is followed by a paragraph containing “pending content</w:t>
      </w:r>
      <w:r w:rsidR="0014471D" w:rsidRPr="00493116">
        <w:rPr>
          <w:rFonts w:ascii="Calibri Light" w:hAnsi="Calibri Light" w:cs="Calibri Light"/>
        </w:rPr>
        <w:t>.</w:t>
      </w:r>
      <w:r w:rsidRPr="00493116">
        <w:rPr>
          <w:rFonts w:ascii="Calibri Light" w:hAnsi="Calibri Light" w:cs="Calibri Light"/>
        </w:rPr>
        <w:t xml:space="preserve">” </w:t>
      </w:r>
      <w:r w:rsidR="00DB1159">
        <w:rPr>
          <w:rFonts w:ascii="Calibri Light" w:hAnsi="Calibri Light" w:cs="Calibri Light"/>
        </w:rPr>
        <w:t>Upon adoption of an ASU, entities</w:t>
      </w:r>
      <w:r w:rsidRPr="00493116">
        <w:rPr>
          <w:rFonts w:ascii="Calibri Light" w:hAnsi="Calibri Light" w:cs="Calibri Light"/>
        </w:rPr>
        <w:t xml:space="preserve"> need to complete the amended </w:t>
      </w:r>
      <w:r w:rsidR="001A1182">
        <w:rPr>
          <w:rFonts w:ascii="Calibri Light" w:hAnsi="Calibri Light" w:cs="Calibri Light"/>
        </w:rPr>
        <w:t>s</w:t>
      </w:r>
      <w:r w:rsidR="001A1182" w:rsidRPr="00493116">
        <w:rPr>
          <w:rFonts w:ascii="Calibri Light" w:hAnsi="Calibri Light" w:cs="Calibri Light"/>
        </w:rPr>
        <w:t xml:space="preserve">ubtopic </w:t>
      </w:r>
      <w:r w:rsidRPr="00493116">
        <w:rPr>
          <w:rFonts w:ascii="Calibri Light" w:hAnsi="Calibri Light" w:cs="Calibri Light"/>
        </w:rPr>
        <w:t>using the pending content for each paragraph that</w:t>
      </w:r>
      <w:r w:rsidR="00FA37BB">
        <w:rPr>
          <w:rFonts w:ascii="Calibri Light" w:hAnsi="Calibri Light" w:cs="Calibri Light"/>
        </w:rPr>
        <w:t xml:space="preserve"> has been</w:t>
      </w:r>
      <w:r w:rsidRPr="00493116">
        <w:rPr>
          <w:rFonts w:ascii="Calibri Light" w:hAnsi="Calibri Light" w:cs="Calibri Light"/>
        </w:rPr>
        <w:t xml:space="preserve"> </w:t>
      </w:r>
      <w:r w:rsidR="00F50BE2">
        <w:rPr>
          <w:rFonts w:ascii="Calibri Light" w:hAnsi="Calibri Light" w:cs="Calibri Light"/>
        </w:rPr>
        <w:t>adopted</w:t>
      </w:r>
      <w:r w:rsidRPr="00493116">
        <w:rPr>
          <w:rFonts w:ascii="Calibri Light" w:hAnsi="Calibri Light" w:cs="Calibri Light"/>
        </w:rPr>
        <w:t>.</w:t>
      </w:r>
    </w:p>
    <w:p w14:paraId="6122F155" w14:textId="1E86D047" w:rsidR="00912204" w:rsidRPr="00F00367" w:rsidRDefault="004E1239" w:rsidP="0067356F">
      <w:pPr>
        <w:pStyle w:val="PABulletLink75IND"/>
        <w:numPr>
          <w:ilvl w:val="0"/>
          <w:numId w:val="10"/>
        </w:numPr>
        <w:spacing w:before="0" w:after="240"/>
        <w:ind w:left="270" w:hanging="270"/>
        <w:rPr>
          <w:rStyle w:val="Hyperlink"/>
          <w:rFonts w:ascii="Calibri Light" w:hAnsi="Calibri Light" w:cs="Calibri Light"/>
          <w:b/>
          <w:iCs/>
        </w:rPr>
      </w:pPr>
      <w:hyperlink r:id="rId18" w:history="1">
        <w:r w:rsidR="0081769A" w:rsidRPr="00CD5740">
          <w:rPr>
            <w:rStyle w:val="Hyperlink"/>
            <w:rFonts w:ascii="Calibri Light" w:hAnsi="Calibri Light" w:cs="Calibri Light"/>
            <w:b/>
            <w:iCs/>
          </w:rPr>
          <w:t xml:space="preserve">2021-07 — </w:t>
        </w:r>
        <w:r w:rsidR="0081769A" w:rsidRPr="00CD5740">
          <w:rPr>
            <w:rStyle w:val="Hyperlink"/>
            <w:rFonts w:ascii="Calibri Light" w:hAnsi="Calibri Light" w:cs="Calibri Light"/>
            <w:b/>
            <w:i/>
          </w:rPr>
          <w:t>Compensation</w:t>
        </w:r>
        <w:r w:rsidR="007701AF">
          <w:rPr>
            <w:rStyle w:val="Hyperlink"/>
            <w:rFonts w:ascii="Calibri Light" w:hAnsi="Calibri Light" w:cs="Calibri Light"/>
            <w:b/>
            <w:i/>
          </w:rPr>
          <w:t xml:space="preserve"> </w:t>
        </w:r>
        <w:r w:rsidR="0081769A" w:rsidRPr="00CD5740">
          <w:rPr>
            <w:rStyle w:val="Hyperlink"/>
            <w:rFonts w:ascii="Calibri Light" w:hAnsi="Calibri Light" w:cs="Calibri Light"/>
            <w:b/>
            <w:i/>
          </w:rPr>
          <w:t>—</w:t>
        </w:r>
        <w:r w:rsidR="007701AF">
          <w:rPr>
            <w:rStyle w:val="Hyperlink"/>
            <w:rFonts w:ascii="Calibri Light" w:hAnsi="Calibri Light" w:cs="Calibri Light"/>
            <w:b/>
            <w:i/>
          </w:rPr>
          <w:t xml:space="preserve"> </w:t>
        </w:r>
        <w:r w:rsidR="0081769A" w:rsidRPr="00CD5740">
          <w:rPr>
            <w:rStyle w:val="Hyperlink"/>
            <w:rFonts w:ascii="Calibri Light" w:hAnsi="Calibri Light" w:cs="Calibri Light"/>
            <w:b/>
            <w:i/>
          </w:rPr>
          <w:t xml:space="preserve">Stock Compensation (Topic 718): Determining the Current Price of an Underlying Share for Equity-Classified Share-Based Awards (a </w:t>
        </w:r>
        <w:r w:rsidR="007701AF">
          <w:rPr>
            <w:rStyle w:val="Hyperlink"/>
            <w:rFonts w:ascii="Calibri Light" w:hAnsi="Calibri Light" w:cs="Calibri Light"/>
            <w:b/>
            <w:i/>
          </w:rPr>
          <w:t>C</w:t>
        </w:r>
        <w:r w:rsidR="007701AF" w:rsidRPr="00CD5740">
          <w:rPr>
            <w:rStyle w:val="Hyperlink"/>
            <w:rFonts w:ascii="Calibri Light" w:hAnsi="Calibri Light" w:cs="Calibri Light"/>
            <w:b/>
            <w:i/>
          </w:rPr>
          <w:t xml:space="preserve">onsensus </w:t>
        </w:r>
        <w:r w:rsidR="0081769A" w:rsidRPr="00CD5740">
          <w:rPr>
            <w:rStyle w:val="Hyperlink"/>
            <w:rFonts w:ascii="Calibri Light" w:hAnsi="Calibri Light" w:cs="Calibri Light"/>
            <w:b/>
            <w:i/>
          </w:rPr>
          <w:t>of the Private Company Council)</w:t>
        </w:r>
      </w:hyperlink>
    </w:p>
    <w:p w14:paraId="34612FB0" w14:textId="6CFD0DAA" w:rsidR="00191D9F" w:rsidRDefault="00191D9F" w:rsidP="008C6556">
      <w:pPr>
        <w:rPr>
          <w:rFonts w:ascii="Calibri Light" w:hAnsi="Calibri Light" w:cs="Calibri Light"/>
        </w:rPr>
      </w:pPr>
      <w:r w:rsidRPr="00191D9F">
        <w:rPr>
          <w:rFonts w:ascii="Calibri Light" w:hAnsi="Calibri Light" w:cs="Calibri Light"/>
        </w:rPr>
        <w:t>As a result of th</w:t>
      </w:r>
      <w:r w:rsidR="00912204">
        <w:rPr>
          <w:rFonts w:ascii="Calibri Light" w:hAnsi="Calibri Light" w:cs="Calibri Light"/>
        </w:rPr>
        <w:t>i</w:t>
      </w:r>
      <w:r w:rsidR="00A0350B">
        <w:rPr>
          <w:rFonts w:ascii="Calibri Light" w:hAnsi="Calibri Light" w:cs="Calibri Light"/>
        </w:rPr>
        <w:t xml:space="preserve">s </w:t>
      </w:r>
      <w:r w:rsidRPr="00191D9F">
        <w:rPr>
          <w:rFonts w:ascii="Calibri Light" w:hAnsi="Calibri Light" w:cs="Calibri Light"/>
        </w:rPr>
        <w:t>ASU, the following section</w:t>
      </w:r>
      <w:r w:rsidR="00072041">
        <w:rPr>
          <w:rFonts w:ascii="Calibri Light" w:hAnsi="Calibri Light" w:cs="Calibri Light"/>
        </w:rPr>
        <w:t>s</w:t>
      </w:r>
      <w:r w:rsidRPr="00191D9F">
        <w:rPr>
          <w:rFonts w:ascii="Calibri Light" w:hAnsi="Calibri Light" w:cs="Calibri Light"/>
        </w:rPr>
        <w:t xml:space="preserve"> h</w:t>
      </w:r>
      <w:r w:rsidR="00072041">
        <w:rPr>
          <w:rFonts w:ascii="Calibri Light" w:hAnsi="Calibri Light" w:cs="Calibri Light"/>
        </w:rPr>
        <w:t>ave</w:t>
      </w:r>
      <w:r w:rsidRPr="00191D9F">
        <w:rPr>
          <w:rFonts w:ascii="Calibri Light" w:hAnsi="Calibri Light" w:cs="Calibri Light"/>
        </w:rPr>
        <w:t xml:space="preserve"> been updated in the U.S. GAAP Checklist:</w:t>
      </w:r>
    </w:p>
    <w:p w14:paraId="0ABDE22D" w14:textId="3C8D0996" w:rsidR="003747DC" w:rsidRPr="00AE47F3" w:rsidRDefault="00BF296D" w:rsidP="003747DC">
      <w:pPr>
        <w:pStyle w:val="PABullet1"/>
        <w:numPr>
          <w:ilvl w:val="0"/>
          <w:numId w:val="9"/>
        </w:numPr>
        <w:spacing w:before="240" w:after="240"/>
        <w:ind w:left="720"/>
        <w:rPr>
          <w:rStyle w:val="Hyperlink"/>
          <w:rFonts w:ascii="Calibri Light" w:hAnsi="Calibri Light" w:cs="Calibri Light"/>
        </w:rPr>
      </w:pPr>
      <w:hyperlink r:id="rId19" w:anchor="e492bd91-3e26-11e6-8541-6b032964143c" w:history="1">
        <w:r w:rsidR="00971A6D" w:rsidRPr="00AE47F3">
          <w:rPr>
            <w:rStyle w:val="Hyperlink"/>
            <w:rFonts w:ascii="Calibri Light" w:hAnsi="Calibri Light" w:cs="Calibri Light"/>
          </w:rPr>
          <w:t>718</w:t>
        </w:r>
        <w:r w:rsidR="003747DC" w:rsidRPr="00AE47F3">
          <w:rPr>
            <w:rStyle w:val="Hyperlink"/>
            <w:rFonts w:ascii="Calibri Light" w:hAnsi="Calibri Light" w:cs="Calibri Light"/>
          </w:rPr>
          <w:t>-10-</w:t>
        </w:r>
        <w:r w:rsidR="00971A6D" w:rsidRPr="00AE47F3">
          <w:rPr>
            <w:rStyle w:val="Hyperlink"/>
            <w:rFonts w:ascii="Calibri Light" w:hAnsi="Calibri Light" w:cs="Calibri Light"/>
          </w:rPr>
          <w:t>30</w:t>
        </w:r>
        <w:r w:rsidR="000219C6" w:rsidRPr="00AE47F3">
          <w:rPr>
            <w:rStyle w:val="Hyperlink"/>
            <w:rFonts w:ascii="Calibri Light" w:hAnsi="Calibri Light" w:cs="Calibri Light"/>
          </w:rPr>
          <w:t xml:space="preserve">, </w:t>
        </w:r>
        <w:r w:rsidR="00AE47F3" w:rsidRPr="00AE47F3">
          <w:rPr>
            <w:rStyle w:val="Hyperlink"/>
            <w:rFonts w:ascii="Calibri Light" w:hAnsi="Calibri Light" w:cs="Calibri Light"/>
            <w:i/>
            <w:iCs/>
          </w:rPr>
          <w:t>Compensation—Stock Compensation — Overall — Initial Measurement</w:t>
        </w:r>
      </w:hyperlink>
    </w:p>
    <w:p w14:paraId="7D0C4CBC" w14:textId="471DDD0A" w:rsidR="00710096" w:rsidRPr="00AE47F3" w:rsidRDefault="004E1239" w:rsidP="003747DC">
      <w:pPr>
        <w:pStyle w:val="PABullet1"/>
        <w:numPr>
          <w:ilvl w:val="0"/>
          <w:numId w:val="9"/>
        </w:numPr>
        <w:spacing w:before="240" w:after="240"/>
        <w:ind w:left="720"/>
        <w:rPr>
          <w:rStyle w:val="Hyperlink"/>
          <w:rFonts w:ascii="Calibri Light" w:hAnsi="Calibri Light" w:cs="Calibri Light"/>
        </w:rPr>
      </w:pPr>
      <w:hyperlink r:id="rId20" w:anchor="e59d4fc5-3e26-11e6-8541-11982bcb03a4" w:history="1">
        <w:r w:rsidR="007701AF">
          <w:rPr>
            <w:rStyle w:val="Hyperlink"/>
            <w:rFonts w:ascii="Calibri Light" w:hAnsi="Calibri Light" w:cs="Calibri Light"/>
            <w:i/>
            <w:iCs/>
          </w:rPr>
          <w:t>718-10-50, Compensation—Stock Compensation — Overall — Disclosure</w:t>
        </w:r>
      </w:hyperlink>
      <w:r w:rsidR="007701AF">
        <w:rPr>
          <w:rStyle w:val="Hyperlink"/>
          <w:rFonts w:ascii="Calibri Light" w:hAnsi="Calibri Light" w:cs="Calibri Light"/>
          <w:i/>
          <w:iCs/>
        </w:rPr>
        <w:t xml:space="preserve"> </w:t>
      </w:r>
    </w:p>
    <w:p w14:paraId="1DA36A33" w14:textId="006B8A26" w:rsidR="009B68CA" w:rsidRPr="00726321" w:rsidRDefault="00912204" w:rsidP="00912204">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00CC323F"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00927B3B" w:rsidRPr="00493116">
        <w:rPr>
          <w:rFonts w:ascii="Calibri Light" w:hAnsi="Calibri Light" w:cs="Calibri Light"/>
        </w:rPr>
        <w:t>:</w:t>
      </w:r>
    </w:p>
    <w:p w14:paraId="3D67AE4A" w14:textId="357480A9" w:rsidR="000219C6" w:rsidRPr="00AE47F3" w:rsidRDefault="00BF296D" w:rsidP="00AC1F78">
      <w:pPr>
        <w:pStyle w:val="PABullet1"/>
        <w:numPr>
          <w:ilvl w:val="0"/>
          <w:numId w:val="9"/>
        </w:numPr>
        <w:spacing w:before="240" w:after="240"/>
        <w:ind w:left="720"/>
        <w:rPr>
          <w:rStyle w:val="Hyperlink"/>
          <w:rFonts w:ascii="Calibri Light" w:hAnsi="Calibri Light" w:cs="Calibri Light"/>
        </w:rPr>
      </w:pPr>
      <w:hyperlink r:id="rId21" w:anchor="e9cd3324-3e25-11e6-8541-771471cb4e34" w:history="1">
        <w:r w:rsidR="00710096" w:rsidRPr="00AE47F3">
          <w:rPr>
            <w:rStyle w:val="Hyperlink"/>
            <w:rFonts w:ascii="Calibri Light" w:hAnsi="Calibri Light" w:cs="Calibri Light"/>
          </w:rPr>
          <w:t>718</w:t>
        </w:r>
        <w:r w:rsidR="000219C6" w:rsidRPr="00AE47F3">
          <w:rPr>
            <w:rStyle w:val="Hyperlink"/>
            <w:rFonts w:ascii="Calibri Light" w:hAnsi="Calibri Light" w:cs="Calibri Light"/>
          </w:rPr>
          <w:t>-</w:t>
        </w:r>
        <w:r w:rsidR="003747DC" w:rsidRPr="00AE47F3">
          <w:rPr>
            <w:rStyle w:val="Hyperlink"/>
            <w:rFonts w:ascii="Calibri Light" w:hAnsi="Calibri Light" w:cs="Calibri Light"/>
          </w:rPr>
          <w:t>1</w:t>
        </w:r>
        <w:r w:rsidR="000219C6" w:rsidRPr="00AE47F3">
          <w:rPr>
            <w:rStyle w:val="Hyperlink"/>
            <w:rFonts w:ascii="Calibri Light" w:hAnsi="Calibri Light" w:cs="Calibri Light"/>
          </w:rPr>
          <w:t>0-</w:t>
        </w:r>
        <w:r w:rsidR="00EC7D40" w:rsidRPr="00AE47F3">
          <w:rPr>
            <w:rStyle w:val="Hyperlink"/>
            <w:rFonts w:ascii="Calibri Light" w:hAnsi="Calibri Light" w:cs="Calibri Light"/>
          </w:rPr>
          <w:t>6</w:t>
        </w:r>
        <w:r w:rsidR="000219C6" w:rsidRPr="00AE47F3">
          <w:rPr>
            <w:rStyle w:val="Hyperlink"/>
            <w:rFonts w:ascii="Calibri Light" w:hAnsi="Calibri Light" w:cs="Calibri Light"/>
          </w:rPr>
          <w:t xml:space="preserve">5, </w:t>
        </w:r>
        <w:r w:rsidR="00AE47F3" w:rsidRPr="00AE47F3">
          <w:rPr>
            <w:rStyle w:val="Hyperlink"/>
            <w:rFonts w:ascii="Calibri Light" w:hAnsi="Calibri Light" w:cs="Calibri Light"/>
            <w:i/>
            <w:iCs/>
          </w:rPr>
          <w:t>Compensation—Stock Compensation — Overall — Transition</w:t>
        </w:r>
      </w:hyperlink>
    </w:p>
    <w:p w14:paraId="53B48C57" w14:textId="35F4C197" w:rsidR="006021B4" w:rsidRPr="00912204" w:rsidRDefault="00BF296D" w:rsidP="006021B4">
      <w:pPr>
        <w:pStyle w:val="PABulletLink75IND"/>
        <w:numPr>
          <w:ilvl w:val="0"/>
          <w:numId w:val="10"/>
        </w:numPr>
        <w:spacing w:before="240" w:after="240"/>
        <w:ind w:left="274" w:hanging="274"/>
        <w:rPr>
          <w:rStyle w:val="Hyperlink"/>
          <w:rFonts w:ascii="Calibri Light" w:hAnsi="Calibri Light" w:cs="Calibri Light"/>
          <w:b/>
          <w:iCs/>
        </w:rPr>
      </w:pPr>
      <w:hyperlink r:id="rId22" w:history="1">
        <w:r w:rsidR="0081769A" w:rsidRPr="007C4718">
          <w:rPr>
            <w:rStyle w:val="Hyperlink"/>
            <w:rFonts w:ascii="Calibri Light" w:hAnsi="Calibri Light" w:cs="Calibri Light"/>
            <w:b/>
            <w:bCs/>
            <w:iCs/>
          </w:rPr>
          <w:t>2021-08</w:t>
        </w:r>
        <w:r w:rsidR="0081769A" w:rsidRPr="007C4718">
          <w:rPr>
            <w:rStyle w:val="Hyperlink"/>
            <w:rFonts w:ascii="Calibri Light" w:hAnsi="Calibri Light" w:cs="Calibri Light"/>
            <w:b/>
            <w:bCs/>
            <w:i/>
          </w:rPr>
          <w:t xml:space="preserve"> — Business Combinations (Topic 805): Accounting for Contract Assets and Contract Liabilities from Contracts with Customers</w:t>
        </w:r>
      </w:hyperlink>
    </w:p>
    <w:p w14:paraId="7B1B12CC" w14:textId="77777777" w:rsidR="0081769A" w:rsidRDefault="0081769A" w:rsidP="0081769A">
      <w:pPr>
        <w:rPr>
          <w:rFonts w:ascii="Calibri Light" w:hAnsi="Calibri Light" w:cs="Calibri Light"/>
        </w:rPr>
      </w:pPr>
      <w:r w:rsidRPr="00191D9F">
        <w:rPr>
          <w:rFonts w:ascii="Calibri Light" w:hAnsi="Calibri Light" w:cs="Calibri Light"/>
        </w:rPr>
        <w:t>As a result of th</w:t>
      </w:r>
      <w:r>
        <w:rPr>
          <w:rFonts w:ascii="Calibri Light" w:hAnsi="Calibri Light" w:cs="Calibri Light"/>
        </w:rPr>
        <w:t xml:space="preserve">is </w:t>
      </w:r>
      <w:r w:rsidRPr="00191D9F">
        <w:rPr>
          <w:rFonts w:ascii="Calibri Light" w:hAnsi="Calibri Light" w:cs="Calibri Light"/>
        </w:rPr>
        <w:t>ASU, the following section</w:t>
      </w:r>
      <w:r>
        <w:rPr>
          <w:rFonts w:ascii="Calibri Light" w:hAnsi="Calibri Light" w:cs="Calibri Light"/>
        </w:rPr>
        <w:t>s</w:t>
      </w:r>
      <w:r w:rsidRPr="00191D9F">
        <w:rPr>
          <w:rFonts w:ascii="Calibri Light" w:hAnsi="Calibri Light" w:cs="Calibri Light"/>
        </w:rPr>
        <w:t xml:space="preserve"> h</w:t>
      </w:r>
      <w:r>
        <w:rPr>
          <w:rFonts w:ascii="Calibri Light" w:hAnsi="Calibri Light" w:cs="Calibri Light"/>
        </w:rPr>
        <w:t>ave</w:t>
      </w:r>
      <w:r w:rsidRPr="00191D9F">
        <w:rPr>
          <w:rFonts w:ascii="Calibri Light" w:hAnsi="Calibri Light" w:cs="Calibri Light"/>
        </w:rPr>
        <w:t xml:space="preserve"> been updated in the U.S. GAAP Checklist:</w:t>
      </w:r>
    </w:p>
    <w:p w14:paraId="58AD2860" w14:textId="76D43D07" w:rsidR="0081769A" w:rsidRDefault="00BF296D" w:rsidP="0081769A">
      <w:pPr>
        <w:pStyle w:val="PABullet1"/>
        <w:numPr>
          <w:ilvl w:val="0"/>
          <w:numId w:val="9"/>
        </w:numPr>
        <w:spacing w:before="240" w:after="240"/>
        <w:ind w:left="720"/>
        <w:rPr>
          <w:rStyle w:val="Hyperlink"/>
          <w:rFonts w:ascii="Calibri Light" w:hAnsi="Calibri Light" w:cs="Calibri Light"/>
        </w:rPr>
      </w:pPr>
      <w:hyperlink r:id="rId23" w:anchor="0aeccfce-3e26-11e6-8541-dd8b302000dd" w:history="1">
        <w:r w:rsidR="0081769A" w:rsidRPr="00494F37">
          <w:rPr>
            <w:rStyle w:val="Hyperlink"/>
            <w:rFonts w:ascii="Calibri Light" w:hAnsi="Calibri Light" w:cs="Calibri Light"/>
          </w:rPr>
          <w:t>8</w:t>
        </w:r>
        <w:r w:rsidR="00494F37" w:rsidRPr="00494F37">
          <w:rPr>
            <w:rStyle w:val="Hyperlink"/>
            <w:rFonts w:ascii="Calibri Light" w:hAnsi="Calibri Light" w:cs="Calibri Light"/>
          </w:rPr>
          <w:t>05</w:t>
        </w:r>
        <w:r w:rsidR="0081769A" w:rsidRPr="00494F37">
          <w:rPr>
            <w:rStyle w:val="Hyperlink"/>
            <w:rFonts w:ascii="Calibri Light" w:hAnsi="Calibri Light" w:cs="Calibri Light"/>
          </w:rPr>
          <w:t>-</w:t>
        </w:r>
        <w:r w:rsidR="00494F37" w:rsidRPr="00494F37">
          <w:rPr>
            <w:rStyle w:val="Hyperlink"/>
            <w:rFonts w:ascii="Calibri Light" w:hAnsi="Calibri Light" w:cs="Calibri Light"/>
          </w:rPr>
          <w:t>2</w:t>
        </w:r>
        <w:r w:rsidR="0081769A" w:rsidRPr="00494F37">
          <w:rPr>
            <w:rStyle w:val="Hyperlink"/>
            <w:rFonts w:ascii="Calibri Light" w:hAnsi="Calibri Light" w:cs="Calibri Light"/>
          </w:rPr>
          <w:t xml:space="preserve">0-25, </w:t>
        </w:r>
        <w:r w:rsidR="00494F37" w:rsidRPr="00494F37">
          <w:rPr>
            <w:rStyle w:val="Hyperlink"/>
            <w:rFonts w:ascii="Calibri Light" w:hAnsi="Calibri Light" w:cs="Calibri Light"/>
            <w:i/>
            <w:iCs/>
          </w:rPr>
          <w:t>Business Combinations</w:t>
        </w:r>
        <w:r w:rsidR="0081769A" w:rsidRPr="00494F37">
          <w:rPr>
            <w:rStyle w:val="Hyperlink"/>
            <w:rFonts w:ascii="Calibri Light" w:hAnsi="Calibri Light" w:cs="Calibri Light"/>
            <w:i/>
            <w:iCs/>
          </w:rPr>
          <w:t xml:space="preserve"> — </w:t>
        </w:r>
        <w:r w:rsidR="00494F37" w:rsidRPr="00494F37">
          <w:rPr>
            <w:rStyle w:val="Hyperlink"/>
            <w:rFonts w:ascii="Calibri Light" w:hAnsi="Calibri Light" w:cs="Calibri Light"/>
            <w:i/>
            <w:iCs/>
          </w:rPr>
          <w:t>Identifiable Assets and Liabilities, and Any Noncontrolling Interest</w:t>
        </w:r>
        <w:r w:rsidR="0081769A" w:rsidRPr="00494F37">
          <w:rPr>
            <w:rStyle w:val="Hyperlink"/>
            <w:rFonts w:ascii="Calibri Light" w:hAnsi="Calibri Light" w:cs="Calibri Light"/>
            <w:i/>
            <w:iCs/>
          </w:rPr>
          <w:t xml:space="preserve"> — Recognition</w:t>
        </w:r>
      </w:hyperlink>
    </w:p>
    <w:p w14:paraId="47364003" w14:textId="104D77C9" w:rsidR="00DC51D1" w:rsidRDefault="00BF296D" w:rsidP="0081769A">
      <w:pPr>
        <w:pStyle w:val="PABullet1"/>
        <w:numPr>
          <w:ilvl w:val="0"/>
          <w:numId w:val="9"/>
        </w:numPr>
        <w:spacing w:before="240" w:after="240"/>
        <w:ind w:left="720"/>
        <w:rPr>
          <w:rStyle w:val="Hyperlink"/>
          <w:rFonts w:ascii="Calibri Light" w:hAnsi="Calibri Light" w:cs="Calibri Light"/>
        </w:rPr>
      </w:pPr>
      <w:hyperlink r:id="rId24" w:anchor="104315b5-3e26-11e6-8541-35c2845a8b66" w:history="1">
        <w:r w:rsidR="00DC51D1" w:rsidRPr="00DC51D1">
          <w:rPr>
            <w:rStyle w:val="Hyperlink"/>
            <w:rFonts w:ascii="Calibri Light" w:hAnsi="Calibri Light" w:cs="Calibri Light"/>
          </w:rPr>
          <w:t xml:space="preserve">805-20-30, </w:t>
        </w:r>
        <w:r w:rsidR="00DC51D1" w:rsidRPr="00DC51D1">
          <w:rPr>
            <w:rStyle w:val="Hyperlink"/>
            <w:rFonts w:ascii="Calibri Light" w:hAnsi="Calibri Light" w:cs="Calibri Light"/>
            <w:i/>
            <w:iCs/>
          </w:rPr>
          <w:t>Business Combinations — Identifiable Assets and Liabilities, and Any Noncontrolling Interest — Initial Measurement</w:t>
        </w:r>
      </w:hyperlink>
    </w:p>
    <w:p w14:paraId="06F9136B" w14:textId="7CE853DD" w:rsidR="00DC51D1" w:rsidRPr="00494F37" w:rsidRDefault="00BF296D" w:rsidP="0081769A">
      <w:pPr>
        <w:pStyle w:val="PABullet1"/>
        <w:numPr>
          <w:ilvl w:val="0"/>
          <w:numId w:val="9"/>
        </w:numPr>
        <w:spacing w:before="240" w:after="240"/>
        <w:ind w:left="720"/>
        <w:rPr>
          <w:rStyle w:val="Hyperlink"/>
          <w:rFonts w:ascii="Calibri Light" w:hAnsi="Calibri Light" w:cs="Calibri Light"/>
        </w:rPr>
      </w:pPr>
      <w:hyperlink r:id="rId25" w:anchor="b2b4a0b6-3e26-11e6-8541-6783cd36ca3c" w:history="1">
        <w:r w:rsidR="00DC51D1" w:rsidRPr="00DC51D1">
          <w:rPr>
            <w:rStyle w:val="Hyperlink"/>
            <w:rFonts w:ascii="Calibri Light" w:hAnsi="Calibri Light" w:cs="Calibri Light"/>
          </w:rPr>
          <w:t xml:space="preserve">805-20-50, </w:t>
        </w:r>
        <w:r w:rsidR="00DC51D1" w:rsidRPr="00DC51D1">
          <w:rPr>
            <w:rStyle w:val="Hyperlink"/>
            <w:rFonts w:ascii="Calibri Light" w:hAnsi="Calibri Light" w:cs="Calibri Light"/>
            <w:i/>
            <w:iCs/>
          </w:rPr>
          <w:t>Business Combinations — Identifiable Assets and Liabilities, and Any Noncontrolling Interest — Disclosure</w:t>
        </w:r>
      </w:hyperlink>
    </w:p>
    <w:p w14:paraId="5078BD1F" w14:textId="789BB9CE" w:rsidR="006021B4" w:rsidRPr="00726321" w:rsidRDefault="0081769A" w:rsidP="006021B4">
      <w:pPr>
        <w:rPr>
          <w:rFonts w:ascii="Calibri Light" w:hAnsi="Calibri Light" w:cs="Calibri Light"/>
        </w:rPr>
      </w:pPr>
      <w:r w:rsidRPr="00726321">
        <w:rPr>
          <w:rFonts w:ascii="Calibri Light" w:hAnsi="Calibri Light" w:cs="Calibri Light"/>
        </w:rPr>
        <w:lastRenderedPageBreak/>
        <w:t xml:space="preserve">The following sections have not been updated in the U.S. GAAP Checklist because there are no questions in the U.S. GAAP Checklist related to </w:t>
      </w:r>
      <w:r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Pr="00493116">
        <w:rPr>
          <w:rFonts w:ascii="Calibri Light" w:hAnsi="Calibri Light" w:cs="Calibri Light"/>
        </w:rPr>
        <w:t>:</w:t>
      </w:r>
    </w:p>
    <w:p w14:paraId="1E7F5B53" w14:textId="36586E51" w:rsidR="00707DBE" w:rsidRPr="0081769A" w:rsidRDefault="00BF296D" w:rsidP="006021B4">
      <w:pPr>
        <w:pStyle w:val="PABullet1"/>
        <w:numPr>
          <w:ilvl w:val="0"/>
          <w:numId w:val="9"/>
        </w:numPr>
        <w:spacing w:before="240" w:after="240"/>
        <w:ind w:left="720"/>
        <w:rPr>
          <w:rStyle w:val="Hyperlink"/>
          <w:rFonts w:ascii="Calibri Light" w:hAnsi="Calibri Light" w:cs="Calibri Light"/>
        </w:rPr>
      </w:pPr>
      <w:hyperlink r:id="rId26" w:anchor="479c5074-3e24-11e6-8541-d5600c7bb7b3" w:history="1">
        <w:r w:rsidR="00DC51D1" w:rsidRPr="00DC51D1">
          <w:rPr>
            <w:rStyle w:val="Hyperlink"/>
            <w:rFonts w:ascii="Calibri Light" w:hAnsi="Calibri Light" w:cs="Calibri Light"/>
          </w:rPr>
          <w:t xml:space="preserve">805-20-65, </w:t>
        </w:r>
        <w:r w:rsidR="00DC51D1" w:rsidRPr="00DC51D1">
          <w:rPr>
            <w:rStyle w:val="Hyperlink"/>
            <w:rFonts w:ascii="Calibri Light" w:hAnsi="Calibri Light" w:cs="Calibri Light"/>
            <w:i/>
            <w:iCs/>
          </w:rPr>
          <w:t>Business Combinations — Identifiable Assets and Liabilities, and Any Noncontrolling Interest — Transition</w:t>
        </w:r>
      </w:hyperlink>
    </w:p>
    <w:p w14:paraId="66ED5384" w14:textId="1276BDC1" w:rsidR="0081769A" w:rsidRPr="00F00367" w:rsidRDefault="00BF296D" w:rsidP="0081769A">
      <w:pPr>
        <w:pStyle w:val="PABulletLink75IND"/>
        <w:numPr>
          <w:ilvl w:val="0"/>
          <w:numId w:val="10"/>
        </w:numPr>
        <w:spacing w:before="0" w:after="240"/>
        <w:ind w:left="270" w:hanging="270"/>
        <w:rPr>
          <w:rStyle w:val="Hyperlink"/>
          <w:rFonts w:ascii="Calibri Light" w:hAnsi="Calibri Light" w:cs="Calibri Light"/>
          <w:b/>
          <w:iCs/>
        </w:rPr>
      </w:pPr>
      <w:hyperlink r:id="rId27" w:history="1">
        <w:r w:rsidR="0081769A" w:rsidRPr="00B16926">
          <w:rPr>
            <w:rStyle w:val="Hyperlink"/>
            <w:rFonts w:ascii="Calibri Light" w:hAnsi="Calibri Light" w:cs="Calibri Light"/>
            <w:b/>
            <w:bCs/>
            <w:iCs/>
          </w:rPr>
          <w:t>2021-09</w:t>
        </w:r>
        <w:r w:rsidR="0081769A" w:rsidRPr="00B16926">
          <w:rPr>
            <w:rStyle w:val="Hyperlink"/>
            <w:rFonts w:ascii="Calibri Light" w:hAnsi="Calibri Light" w:cs="Calibri Light"/>
            <w:b/>
            <w:bCs/>
            <w:i/>
          </w:rPr>
          <w:t xml:space="preserve"> — Leases (Topic 842): Discount Rate for Lessees That Are Not Public Business Entities</w:t>
        </w:r>
      </w:hyperlink>
    </w:p>
    <w:p w14:paraId="39A9D980" w14:textId="77777777" w:rsidR="0081769A" w:rsidRDefault="0081769A" w:rsidP="0081769A">
      <w:pPr>
        <w:rPr>
          <w:rFonts w:ascii="Calibri Light" w:hAnsi="Calibri Light" w:cs="Calibri Light"/>
        </w:rPr>
      </w:pPr>
      <w:r w:rsidRPr="00191D9F">
        <w:rPr>
          <w:rFonts w:ascii="Calibri Light" w:hAnsi="Calibri Light" w:cs="Calibri Light"/>
        </w:rPr>
        <w:t>As a result of th</w:t>
      </w:r>
      <w:r>
        <w:rPr>
          <w:rFonts w:ascii="Calibri Light" w:hAnsi="Calibri Light" w:cs="Calibri Light"/>
        </w:rPr>
        <w:t xml:space="preserve">is </w:t>
      </w:r>
      <w:r w:rsidRPr="00191D9F">
        <w:rPr>
          <w:rFonts w:ascii="Calibri Light" w:hAnsi="Calibri Light" w:cs="Calibri Light"/>
        </w:rPr>
        <w:t>ASU, the following section</w:t>
      </w:r>
      <w:r>
        <w:rPr>
          <w:rFonts w:ascii="Calibri Light" w:hAnsi="Calibri Light" w:cs="Calibri Light"/>
        </w:rPr>
        <w:t>s</w:t>
      </w:r>
      <w:r w:rsidRPr="00191D9F">
        <w:rPr>
          <w:rFonts w:ascii="Calibri Light" w:hAnsi="Calibri Light" w:cs="Calibri Light"/>
        </w:rPr>
        <w:t xml:space="preserve"> h</w:t>
      </w:r>
      <w:r>
        <w:rPr>
          <w:rFonts w:ascii="Calibri Light" w:hAnsi="Calibri Light" w:cs="Calibri Light"/>
        </w:rPr>
        <w:t>ave</w:t>
      </w:r>
      <w:r w:rsidRPr="00191D9F">
        <w:rPr>
          <w:rFonts w:ascii="Calibri Light" w:hAnsi="Calibri Light" w:cs="Calibri Light"/>
        </w:rPr>
        <w:t xml:space="preserve"> been updated in the U.S. GAAP Checklist:</w:t>
      </w:r>
    </w:p>
    <w:p w14:paraId="4409E894" w14:textId="1507A9F3" w:rsidR="0081769A" w:rsidRDefault="00BF296D" w:rsidP="0081769A">
      <w:pPr>
        <w:pStyle w:val="PABullet1"/>
        <w:numPr>
          <w:ilvl w:val="0"/>
          <w:numId w:val="9"/>
        </w:numPr>
        <w:spacing w:before="240" w:after="240"/>
        <w:ind w:left="720"/>
        <w:rPr>
          <w:rStyle w:val="Hyperlink"/>
          <w:rFonts w:ascii="Calibri Light" w:hAnsi="Calibri Light" w:cs="Calibri Light"/>
        </w:rPr>
      </w:pPr>
      <w:hyperlink r:id="rId28" w:anchor="e05535f4-3e5d-11e6-8541-dd598511eec5" w:history="1">
        <w:r w:rsidR="0081769A" w:rsidRPr="00971066">
          <w:rPr>
            <w:rStyle w:val="Hyperlink"/>
            <w:rFonts w:ascii="Calibri Light" w:hAnsi="Calibri Light" w:cs="Calibri Light"/>
          </w:rPr>
          <w:t>842-</w:t>
        </w:r>
        <w:r w:rsidR="00971066" w:rsidRPr="00971066">
          <w:rPr>
            <w:rStyle w:val="Hyperlink"/>
            <w:rFonts w:ascii="Calibri Light" w:hAnsi="Calibri Light" w:cs="Calibri Light"/>
          </w:rPr>
          <w:t>2</w:t>
        </w:r>
        <w:r w:rsidR="0081769A" w:rsidRPr="00971066">
          <w:rPr>
            <w:rStyle w:val="Hyperlink"/>
            <w:rFonts w:ascii="Calibri Light" w:hAnsi="Calibri Light" w:cs="Calibri Light"/>
          </w:rPr>
          <w:t>0-</w:t>
        </w:r>
        <w:r w:rsidR="00971066" w:rsidRPr="00971066">
          <w:rPr>
            <w:rStyle w:val="Hyperlink"/>
            <w:rFonts w:ascii="Calibri Light" w:hAnsi="Calibri Light" w:cs="Calibri Light"/>
          </w:rPr>
          <w:t>30</w:t>
        </w:r>
        <w:r w:rsidR="0081769A" w:rsidRPr="00971066">
          <w:rPr>
            <w:rStyle w:val="Hyperlink"/>
            <w:rFonts w:ascii="Calibri Light" w:hAnsi="Calibri Light" w:cs="Calibri Light"/>
          </w:rPr>
          <w:t xml:space="preserve">, </w:t>
        </w:r>
        <w:r w:rsidR="0081769A" w:rsidRPr="00971066">
          <w:rPr>
            <w:rStyle w:val="Hyperlink"/>
            <w:rFonts w:ascii="Calibri Light" w:hAnsi="Calibri Light" w:cs="Calibri Light"/>
            <w:i/>
            <w:iCs/>
          </w:rPr>
          <w:t xml:space="preserve">Leases — </w:t>
        </w:r>
        <w:r w:rsidR="00971066" w:rsidRPr="00971066">
          <w:rPr>
            <w:rStyle w:val="Hyperlink"/>
            <w:rFonts w:ascii="Calibri Light" w:hAnsi="Calibri Light" w:cs="Calibri Light"/>
            <w:i/>
            <w:iCs/>
          </w:rPr>
          <w:t>Lessee</w:t>
        </w:r>
        <w:r w:rsidR="0081769A" w:rsidRPr="00971066">
          <w:rPr>
            <w:rStyle w:val="Hyperlink"/>
            <w:rFonts w:ascii="Calibri Light" w:hAnsi="Calibri Light" w:cs="Calibri Light"/>
            <w:i/>
            <w:iCs/>
          </w:rPr>
          <w:t xml:space="preserve"> — </w:t>
        </w:r>
        <w:r w:rsidR="00971066" w:rsidRPr="00971066">
          <w:rPr>
            <w:rStyle w:val="Hyperlink"/>
            <w:rFonts w:ascii="Calibri Light" w:hAnsi="Calibri Light" w:cs="Calibri Light"/>
            <w:i/>
            <w:iCs/>
          </w:rPr>
          <w:t>Initial Measurement</w:t>
        </w:r>
      </w:hyperlink>
    </w:p>
    <w:p w14:paraId="620F8A52" w14:textId="1D0E82F9" w:rsidR="00971066" w:rsidRDefault="00BF296D" w:rsidP="0081769A">
      <w:pPr>
        <w:pStyle w:val="PABullet1"/>
        <w:numPr>
          <w:ilvl w:val="0"/>
          <w:numId w:val="9"/>
        </w:numPr>
        <w:spacing w:before="240" w:after="240"/>
        <w:ind w:left="720"/>
        <w:rPr>
          <w:rStyle w:val="Hyperlink"/>
          <w:rFonts w:ascii="Calibri Light" w:hAnsi="Calibri Light" w:cs="Calibri Light"/>
        </w:rPr>
      </w:pPr>
      <w:hyperlink r:id="rId29" w:anchor="f4b4aa5c-3e5d-11e6-8541-a76ff661a872" w:history="1">
        <w:r w:rsidR="00971066" w:rsidRPr="00971066">
          <w:rPr>
            <w:rStyle w:val="Hyperlink"/>
            <w:rFonts w:ascii="Calibri Light" w:hAnsi="Calibri Light" w:cs="Calibri Light"/>
          </w:rPr>
          <w:t xml:space="preserve">842-20-50, </w:t>
        </w:r>
        <w:r w:rsidR="00971066" w:rsidRPr="00971066">
          <w:rPr>
            <w:rStyle w:val="Hyperlink"/>
            <w:rFonts w:ascii="Calibri Light" w:hAnsi="Calibri Light" w:cs="Calibri Light"/>
            <w:i/>
            <w:iCs/>
          </w:rPr>
          <w:t>Leases — Lessee — Disclosure</w:t>
        </w:r>
      </w:hyperlink>
    </w:p>
    <w:p w14:paraId="50C340DB" w14:textId="2EF981AD" w:rsidR="00971066" w:rsidRPr="00971066" w:rsidRDefault="00BF296D" w:rsidP="0081769A">
      <w:pPr>
        <w:pStyle w:val="PABullet1"/>
        <w:numPr>
          <w:ilvl w:val="0"/>
          <w:numId w:val="9"/>
        </w:numPr>
        <w:spacing w:before="240" w:after="240"/>
        <w:ind w:left="720"/>
        <w:rPr>
          <w:rStyle w:val="Hyperlink"/>
          <w:rFonts w:ascii="Calibri Light" w:hAnsi="Calibri Light" w:cs="Calibri Light"/>
        </w:rPr>
      </w:pPr>
      <w:hyperlink r:id="rId30" w:anchor="a61b9418-3e5b-11e6-8541-fbf78a047cea" w:history="1">
        <w:r w:rsidR="00971066" w:rsidRPr="00971066">
          <w:rPr>
            <w:rStyle w:val="Hyperlink"/>
            <w:rFonts w:ascii="Calibri Light" w:hAnsi="Calibri Light" w:cs="Calibri Light"/>
          </w:rPr>
          <w:t xml:space="preserve">842-40-50, </w:t>
        </w:r>
        <w:r w:rsidR="00971066" w:rsidRPr="00971066">
          <w:rPr>
            <w:rStyle w:val="Hyperlink"/>
            <w:rFonts w:ascii="Calibri Light" w:hAnsi="Calibri Light" w:cs="Calibri Light"/>
            <w:i/>
            <w:iCs/>
          </w:rPr>
          <w:t>Leases — Sale and Leaseback Transactions — Disclosure</w:t>
        </w:r>
      </w:hyperlink>
    </w:p>
    <w:p w14:paraId="4B2C50E1" w14:textId="77777777" w:rsidR="0081769A" w:rsidRPr="00726321" w:rsidRDefault="0081769A" w:rsidP="0081769A">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Pr="00493116">
        <w:rPr>
          <w:rFonts w:ascii="Calibri Light" w:hAnsi="Calibri Light" w:cs="Calibri Light"/>
        </w:rPr>
        <w:t>:</w:t>
      </w:r>
    </w:p>
    <w:p w14:paraId="0950417F" w14:textId="1AA9ECD1" w:rsidR="0081769A" w:rsidRPr="00971066" w:rsidRDefault="00BF296D" w:rsidP="0081769A">
      <w:pPr>
        <w:pStyle w:val="PABullet1"/>
        <w:numPr>
          <w:ilvl w:val="0"/>
          <w:numId w:val="9"/>
        </w:numPr>
        <w:spacing w:before="240" w:after="240"/>
        <w:ind w:left="720"/>
        <w:rPr>
          <w:rStyle w:val="Hyperlink"/>
          <w:rFonts w:ascii="Calibri Light" w:hAnsi="Calibri Light" w:cs="Calibri Light"/>
        </w:rPr>
      </w:pPr>
      <w:hyperlink r:id="rId31" w:anchor="7d296af1-3e54-11e6-8541-313c4ba6b6b9" w:history="1">
        <w:r w:rsidR="0081769A" w:rsidRPr="00971066">
          <w:rPr>
            <w:rStyle w:val="Hyperlink"/>
            <w:rFonts w:ascii="Calibri Light" w:hAnsi="Calibri Light" w:cs="Calibri Light"/>
          </w:rPr>
          <w:t>842-10-</w:t>
        </w:r>
        <w:r w:rsidR="00971066" w:rsidRPr="00971066">
          <w:rPr>
            <w:rStyle w:val="Hyperlink"/>
            <w:rFonts w:ascii="Calibri Light" w:hAnsi="Calibri Light" w:cs="Calibri Light"/>
          </w:rPr>
          <w:t>6</w:t>
        </w:r>
        <w:r w:rsidR="0081769A" w:rsidRPr="00971066">
          <w:rPr>
            <w:rStyle w:val="Hyperlink"/>
            <w:rFonts w:ascii="Calibri Light" w:hAnsi="Calibri Light" w:cs="Calibri Light"/>
          </w:rPr>
          <w:t xml:space="preserve">5, </w:t>
        </w:r>
        <w:r w:rsidR="0081769A" w:rsidRPr="00971066">
          <w:rPr>
            <w:rStyle w:val="Hyperlink"/>
            <w:rFonts w:ascii="Calibri Light" w:hAnsi="Calibri Light" w:cs="Calibri Light"/>
            <w:i/>
            <w:iCs/>
          </w:rPr>
          <w:t xml:space="preserve">Leases — Overall — </w:t>
        </w:r>
        <w:r w:rsidR="00971066" w:rsidRPr="00971066">
          <w:rPr>
            <w:rStyle w:val="Hyperlink"/>
            <w:rFonts w:ascii="Calibri Light" w:hAnsi="Calibri Light" w:cs="Calibri Light"/>
            <w:i/>
            <w:iCs/>
          </w:rPr>
          <w:t>Transition</w:t>
        </w:r>
      </w:hyperlink>
    </w:p>
    <w:p w14:paraId="0AA4BB8A" w14:textId="40D20C1F" w:rsidR="0081769A" w:rsidRDefault="00BF296D" w:rsidP="0081769A">
      <w:pPr>
        <w:pStyle w:val="PABulletLink75IND"/>
        <w:numPr>
          <w:ilvl w:val="0"/>
          <w:numId w:val="10"/>
        </w:numPr>
        <w:spacing w:before="0" w:after="240"/>
        <w:ind w:left="270" w:hanging="270"/>
        <w:rPr>
          <w:rStyle w:val="Hyperlink"/>
          <w:rFonts w:ascii="Calibri Light" w:hAnsi="Calibri Light" w:cs="Calibri Light"/>
          <w:b/>
          <w:bCs/>
          <w:iCs/>
        </w:rPr>
      </w:pPr>
      <w:hyperlink r:id="rId32" w:history="1">
        <w:r w:rsidR="0081769A" w:rsidRPr="00DE6BE9">
          <w:rPr>
            <w:rStyle w:val="Hyperlink"/>
            <w:rFonts w:ascii="Calibri Light" w:hAnsi="Calibri Light" w:cs="Calibri Light"/>
            <w:b/>
            <w:bCs/>
            <w:iCs/>
          </w:rPr>
          <w:t>2021-</w:t>
        </w:r>
        <w:r w:rsidR="0081769A">
          <w:rPr>
            <w:rStyle w:val="Hyperlink"/>
            <w:rFonts w:ascii="Calibri Light" w:hAnsi="Calibri Light" w:cs="Calibri Light"/>
            <w:b/>
            <w:bCs/>
            <w:iCs/>
          </w:rPr>
          <w:t>10</w:t>
        </w:r>
        <w:r w:rsidR="0081769A" w:rsidRPr="0081769A">
          <w:rPr>
            <w:rStyle w:val="Hyperlink"/>
            <w:rFonts w:ascii="Calibri Light" w:hAnsi="Calibri Light" w:cs="Calibri Light"/>
            <w:b/>
            <w:bCs/>
            <w:iCs/>
          </w:rPr>
          <w:t xml:space="preserve"> —</w:t>
        </w:r>
        <w:r w:rsidR="0081769A" w:rsidRPr="0081769A">
          <w:rPr>
            <w:rStyle w:val="Hyperlink"/>
            <w:rFonts w:ascii="Calibri Light" w:hAnsi="Calibri Light" w:cs="Calibri Light"/>
            <w:b/>
            <w:bCs/>
            <w:i/>
          </w:rPr>
          <w:t xml:space="preserve"> Government Assistance (Topic 832): Disclosures by Business Entities about Government Assistance</w:t>
        </w:r>
      </w:hyperlink>
    </w:p>
    <w:p w14:paraId="51D1913D" w14:textId="77777777" w:rsidR="007657CB" w:rsidRDefault="007657CB" w:rsidP="007657CB">
      <w:pPr>
        <w:rPr>
          <w:rFonts w:ascii="Calibri Light" w:hAnsi="Calibri Light" w:cs="Calibri Light"/>
        </w:rPr>
      </w:pPr>
      <w:r w:rsidRPr="00191D9F">
        <w:rPr>
          <w:rFonts w:ascii="Calibri Light" w:hAnsi="Calibri Light" w:cs="Calibri Light"/>
        </w:rPr>
        <w:t>As a result of th</w:t>
      </w:r>
      <w:r>
        <w:rPr>
          <w:rFonts w:ascii="Calibri Light" w:hAnsi="Calibri Light" w:cs="Calibri Light"/>
        </w:rPr>
        <w:t xml:space="preserve">is </w:t>
      </w:r>
      <w:r w:rsidRPr="00191D9F">
        <w:rPr>
          <w:rFonts w:ascii="Calibri Light" w:hAnsi="Calibri Light" w:cs="Calibri Light"/>
        </w:rPr>
        <w:t>ASU, the following section</w:t>
      </w:r>
      <w:r>
        <w:rPr>
          <w:rFonts w:ascii="Calibri Light" w:hAnsi="Calibri Light" w:cs="Calibri Light"/>
        </w:rPr>
        <w:t>s</w:t>
      </w:r>
      <w:r w:rsidRPr="00191D9F">
        <w:rPr>
          <w:rFonts w:ascii="Calibri Light" w:hAnsi="Calibri Light" w:cs="Calibri Light"/>
        </w:rPr>
        <w:t xml:space="preserve"> h</w:t>
      </w:r>
      <w:r>
        <w:rPr>
          <w:rFonts w:ascii="Calibri Light" w:hAnsi="Calibri Light" w:cs="Calibri Light"/>
        </w:rPr>
        <w:t>ave</w:t>
      </w:r>
      <w:r w:rsidRPr="00191D9F">
        <w:rPr>
          <w:rFonts w:ascii="Calibri Light" w:hAnsi="Calibri Light" w:cs="Calibri Light"/>
        </w:rPr>
        <w:t xml:space="preserve"> been updated in the U.S. GAAP Checklist:</w:t>
      </w:r>
    </w:p>
    <w:p w14:paraId="6FBDAB25" w14:textId="4EBD2465" w:rsidR="007657CB" w:rsidRPr="003747DC" w:rsidRDefault="009F62C2" w:rsidP="007657CB">
      <w:pPr>
        <w:pStyle w:val="PABullet1"/>
        <w:numPr>
          <w:ilvl w:val="0"/>
          <w:numId w:val="9"/>
        </w:numPr>
        <w:spacing w:before="240" w:after="240"/>
        <w:ind w:left="720"/>
        <w:rPr>
          <w:rFonts w:ascii="Calibri Light" w:hAnsi="Calibri Light" w:cs="Calibri Light"/>
          <w:i/>
          <w:iCs/>
          <w:color w:val="62B5E5"/>
          <w:u w:val="single"/>
        </w:rPr>
      </w:pPr>
      <w:hyperlink r:id="rId33" w:history="1">
        <w:r w:rsidR="000B3B4D" w:rsidRPr="009F62C2">
          <w:rPr>
            <w:rStyle w:val="Hyperlink"/>
            <w:rFonts w:ascii="Calibri Light" w:hAnsi="Calibri Light" w:cs="Calibri Light"/>
          </w:rPr>
          <w:t xml:space="preserve">832-10-50, </w:t>
        </w:r>
        <w:r w:rsidR="000B3B4D" w:rsidRPr="009F62C2">
          <w:rPr>
            <w:rStyle w:val="Hyperlink"/>
            <w:rFonts w:ascii="Calibri Light" w:hAnsi="Calibri Light" w:cs="Calibri Light"/>
            <w:i/>
            <w:iCs/>
          </w:rPr>
          <w:t>Government Assistance — Overall — Disclosure</w:t>
        </w:r>
      </w:hyperlink>
    </w:p>
    <w:p w14:paraId="5A5BB069" w14:textId="77777777" w:rsidR="007657CB" w:rsidRPr="00726321" w:rsidRDefault="007657CB" w:rsidP="007657CB">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Pr="00493116">
        <w:rPr>
          <w:rFonts w:ascii="Calibri Light" w:hAnsi="Calibri Light" w:cs="Calibri Light"/>
        </w:rPr>
        <w:t>:</w:t>
      </w:r>
    </w:p>
    <w:p w14:paraId="0A8BA3A9" w14:textId="03148E4E" w:rsidR="007657CB" w:rsidRPr="000B3B4D" w:rsidRDefault="00BF296D" w:rsidP="007657CB">
      <w:pPr>
        <w:pStyle w:val="PABullet1"/>
        <w:numPr>
          <w:ilvl w:val="0"/>
          <w:numId w:val="9"/>
        </w:numPr>
        <w:spacing w:before="240" w:after="240"/>
        <w:ind w:left="720"/>
        <w:rPr>
          <w:rStyle w:val="Hyperlink"/>
          <w:rFonts w:ascii="Calibri Light" w:hAnsi="Calibri Light" w:cs="Calibri Light"/>
        </w:rPr>
      </w:pPr>
      <w:hyperlink r:id="rId34" w:anchor="8ac46c04-48e2-11ec-a232-ef2f77b8cfbc" w:history="1">
        <w:r w:rsidR="000B3B4D" w:rsidRPr="00C57914">
          <w:rPr>
            <w:rStyle w:val="Hyperlink"/>
            <w:rFonts w:ascii="Calibri Light" w:hAnsi="Calibri Light" w:cs="Calibri Light"/>
          </w:rPr>
          <w:t xml:space="preserve">832-10-05, </w:t>
        </w:r>
        <w:r w:rsidR="000B3B4D" w:rsidRPr="00C57914">
          <w:rPr>
            <w:rStyle w:val="Hyperlink"/>
            <w:rFonts w:ascii="Calibri Light" w:hAnsi="Calibri Light" w:cs="Calibri Light"/>
            <w:i/>
            <w:iCs/>
          </w:rPr>
          <w:t>Government Assistance — Overall —</w:t>
        </w:r>
        <w:r w:rsidR="00DB5D78">
          <w:rPr>
            <w:rStyle w:val="Hyperlink"/>
            <w:rFonts w:ascii="Calibri Light" w:hAnsi="Calibri Light" w:cs="Calibri Light"/>
            <w:i/>
            <w:iCs/>
          </w:rPr>
          <w:t xml:space="preserve"> </w:t>
        </w:r>
        <w:r w:rsidR="000B3B4D" w:rsidRPr="00C57914">
          <w:rPr>
            <w:rStyle w:val="Hyperlink"/>
            <w:rFonts w:ascii="Calibri Light" w:hAnsi="Calibri Light" w:cs="Calibri Light"/>
            <w:i/>
            <w:iCs/>
          </w:rPr>
          <w:t>Background</w:t>
        </w:r>
      </w:hyperlink>
    </w:p>
    <w:p w14:paraId="0A1FF975" w14:textId="449FC96A" w:rsidR="000B3B4D" w:rsidRPr="000B3B4D" w:rsidRDefault="00BF296D" w:rsidP="007657CB">
      <w:pPr>
        <w:pStyle w:val="PABullet1"/>
        <w:numPr>
          <w:ilvl w:val="0"/>
          <w:numId w:val="9"/>
        </w:numPr>
        <w:spacing w:before="240" w:after="240"/>
        <w:ind w:left="720"/>
        <w:rPr>
          <w:rStyle w:val="Hyperlink"/>
          <w:rFonts w:ascii="Calibri Light" w:hAnsi="Calibri Light" w:cs="Calibri Light"/>
        </w:rPr>
      </w:pPr>
      <w:hyperlink r:id="rId35" w:anchor="8f857698-48e2-11ec-a232-871e4292bfce" w:history="1">
        <w:r w:rsidR="000B3B4D" w:rsidRPr="00C57914">
          <w:rPr>
            <w:rStyle w:val="Hyperlink"/>
            <w:rFonts w:ascii="Calibri Light" w:hAnsi="Calibri Light" w:cs="Calibri Light"/>
          </w:rPr>
          <w:t xml:space="preserve">832-10-15, </w:t>
        </w:r>
        <w:r w:rsidR="000B3B4D" w:rsidRPr="00C57914">
          <w:rPr>
            <w:rStyle w:val="Hyperlink"/>
            <w:rFonts w:ascii="Calibri Light" w:hAnsi="Calibri Light" w:cs="Calibri Light"/>
            <w:i/>
            <w:iCs/>
          </w:rPr>
          <w:t>Government Assistance — Overall — Scope</w:t>
        </w:r>
      </w:hyperlink>
    </w:p>
    <w:p w14:paraId="2D4A3898" w14:textId="29322257" w:rsidR="000B3B4D" w:rsidRPr="000B3B4D" w:rsidRDefault="00BF296D" w:rsidP="007657CB">
      <w:pPr>
        <w:pStyle w:val="PABullet1"/>
        <w:numPr>
          <w:ilvl w:val="0"/>
          <w:numId w:val="9"/>
        </w:numPr>
        <w:spacing w:before="240" w:after="240"/>
        <w:ind w:left="720"/>
        <w:rPr>
          <w:rStyle w:val="Hyperlink"/>
          <w:rFonts w:ascii="Calibri Light" w:hAnsi="Calibri Light" w:cs="Calibri Light"/>
        </w:rPr>
      </w:pPr>
      <w:hyperlink r:id="rId36" w:anchor="91022b8f-48e2-11ec-a232-7dba685516fb" w:history="1">
        <w:r w:rsidR="000B3B4D" w:rsidRPr="00C57914">
          <w:rPr>
            <w:rStyle w:val="Hyperlink"/>
            <w:rFonts w:ascii="Calibri Light" w:hAnsi="Calibri Light" w:cs="Calibri Light"/>
          </w:rPr>
          <w:t xml:space="preserve">832-10-65, </w:t>
        </w:r>
        <w:r w:rsidR="000B3B4D" w:rsidRPr="00C57914">
          <w:rPr>
            <w:rStyle w:val="Hyperlink"/>
            <w:rFonts w:ascii="Calibri Light" w:hAnsi="Calibri Light" w:cs="Calibri Light"/>
            <w:i/>
            <w:iCs/>
          </w:rPr>
          <w:t>Government Assistance — Overall — Transition</w:t>
        </w:r>
      </w:hyperlink>
    </w:p>
    <w:p w14:paraId="00A0DEA1" w14:textId="232DA042" w:rsidR="009B68CA" w:rsidRDefault="009B68CA" w:rsidP="006021B4">
      <w:pPr>
        <w:pStyle w:val="PABullet1"/>
        <w:rPr>
          <w:rStyle w:val="Hyperlink"/>
          <w:rFonts w:ascii="Calibri Light" w:hAnsi="Calibri Light" w:cs="Calibri Light"/>
          <w:color w:val="auto"/>
        </w:rPr>
      </w:pPr>
    </w:p>
    <w:p w14:paraId="47B18D0E" w14:textId="15150C5F" w:rsidR="0060218E" w:rsidRDefault="0060218E">
      <w:pPr>
        <w:widowControl/>
        <w:autoSpaceDE/>
        <w:autoSpaceDN/>
        <w:spacing w:after="0" w:line="240" w:lineRule="auto"/>
        <w:rPr>
          <w:rStyle w:val="Hyperlink"/>
          <w:rFonts w:ascii="Calibri Light" w:hAnsi="Calibri Light" w:cs="Calibri Light"/>
          <w:color w:val="auto"/>
          <w:szCs w:val="18"/>
          <w:shd w:val="clear" w:color="auto" w:fill="FFFFFF"/>
          <w:lang w:val="en-GB"/>
        </w:rPr>
      </w:pPr>
      <w:r>
        <w:rPr>
          <w:rStyle w:val="Hyperlink"/>
          <w:rFonts w:ascii="Calibri Light" w:hAnsi="Calibri Light" w:cs="Calibri Light"/>
          <w:color w:val="auto"/>
        </w:rPr>
        <w:br w:type="page"/>
      </w:r>
    </w:p>
    <w:p w14:paraId="638862FD" w14:textId="024A72E2" w:rsidR="009B68CA" w:rsidRDefault="009B68CA" w:rsidP="00A379B6">
      <w:pPr>
        <w:pStyle w:val="PABullet1"/>
        <w:ind w:left="720"/>
        <w:rPr>
          <w:rStyle w:val="Hyperlink"/>
          <w:rFonts w:ascii="Calibri Light" w:hAnsi="Calibri Light" w:cs="Calibri Light"/>
          <w:color w:val="auto"/>
        </w:rPr>
      </w:pPr>
    </w:p>
    <w:p w14:paraId="7D25FBF3" w14:textId="353F8DCB" w:rsidR="0060218E" w:rsidRDefault="0060218E" w:rsidP="00A379B6">
      <w:pPr>
        <w:pStyle w:val="PABullet1"/>
        <w:ind w:left="720"/>
        <w:rPr>
          <w:rStyle w:val="Hyperlink"/>
          <w:rFonts w:ascii="Calibri Light" w:hAnsi="Calibri Light" w:cs="Calibri Light"/>
          <w:color w:val="auto"/>
        </w:rPr>
      </w:pPr>
    </w:p>
    <w:p w14:paraId="622F8088" w14:textId="5362CECD" w:rsidR="0060218E" w:rsidRDefault="0060218E" w:rsidP="00A379B6">
      <w:pPr>
        <w:pStyle w:val="PABullet1"/>
        <w:ind w:left="720"/>
        <w:rPr>
          <w:rStyle w:val="Hyperlink"/>
          <w:rFonts w:ascii="Calibri Light" w:hAnsi="Calibri Light" w:cs="Calibri Light"/>
          <w:color w:val="auto"/>
        </w:rPr>
      </w:pPr>
    </w:p>
    <w:p w14:paraId="10A46FCF" w14:textId="0F6209CE" w:rsidR="0060218E" w:rsidRDefault="0060218E" w:rsidP="00A379B6">
      <w:pPr>
        <w:pStyle w:val="PABullet1"/>
        <w:ind w:left="720"/>
        <w:rPr>
          <w:rStyle w:val="Hyperlink"/>
          <w:rFonts w:ascii="Calibri Light" w:hAnsi="Calibri Light" w:cs="Calibri Light"/>
          <w:color w:val="auto"/>
        </w:rPr>
      </w:pPr>
    </w:p>
    <w:p w14:paraId="3F1EE0C1" w14:textId="1EA11971" w:rsidR="0060218E" w:rsidRDefault="0060218E" w:rsidP="00A379B6">
      <w:pPr>
        <w:pStyle w:val="PABullet1"/>
        <w:ind w:left="720"/>
        <w:rPr>
          <w:rStyle w:val="Hyperlink"/>
          <w:rFonts w:ascii="Calibri Light" w:hAnsi="Calibri Light" w:cs="Calibri Light"/>
          <w:color w:val="auto"/>
        </w:rPr>
      </w:pPr>
    </w:p>
    <w:p w14:paraId="2559C8E9" w14:textId="007D69B7" w:rsidR="0060218E" w:rsidRDefault="0060218E" w:rsidP="00A379B6">
      <w:pPr>
        <w:pStyle w:val="PABullet1"/>
        <w:ind w:left="720"/>
        <w:rPr>
          <w:rStyle w:val="Hyperlink"/>
          <w:rFonts w:ascii="Calibri Light" w:hAnsi="Calibri Light" w:cs="Calibri Light"/>
          <w:color w:val="auto"/>
        </w:rPr>
      </w:pPr>
    </w:p>
    <w:p w14:paraId="664D4780" w14:textId="3DBCF848" w:rsidR="0060218E" w:rsidRDefault="0060218E" w:rsidP="00A379B6">
      <w:pPr>
        <w:pStyle w:val="PABullet1"/>
        <w:ind w:left="720"/>
        <w:rPr>
          <w:rStyle w:val="Hyperlink"/>
          <w:rFonts w:ascii="Calibri Light" w:hAnsi="Calibri Light" w:cs="Calibri Light"/>
          <w:color w:val="auto"/>
        </w:rPr>
      </w:pPr>
    </w:p>
    <w:p w14:paraId="158DADFD" w14:textId="77586F7D" w:rsidR="0060218E" w:rsidRDefault="0060218E" w:rsidP="00A379B6">
      <w:pPr>
        <w:pStyle w:val="PABullet1"/>
        <w:ind w:left="720"/>
        <w:rPr>
          <w:rStyle w:val="Hyperlink"/>
          <w:rFonts w:ascii="Calibri Light" w:hAnsi="Calibri Light" w:cs="Calibri Light"/>
          <w:color w:val="auto"/>
        </w:rPr>
      </w:pPr>
    </w:p>
    <w:p w14:paraId="16BA118A" w14:textId="7B3F89CF" w:rsidR="0060218E" w:rsidRDefault="0060218E" w:rsidP="00A379B6">
      <w:pPr>
        <w:pStyle w:val="PABullet1"/>
        <w:ind w:left="720"/>
        <w:rPr>
          <w:rStyle w:val="Hyperlink"/>
          <w:rFonts w:ascii="Calibri Light" w:hAnsi="Calibri Light" w:cs="Calibri Light"/>
          <w:color w:val="auto"/>
        </w:rPr>
      </w:pPr>
    </w:p>
    <w:p w14:paraId="4F96D09F" w14:textId="67CE3881" w:rsidR="0060218E" w:rsidRDefault="0060218E" w:rsidP="00A379B6">
      <w:pPr>
        <w:pStyle w:val="PABullet1"/>
        <w:ind w:left="720"/>
        <w:rPr>
          <w:rStyle w:val="Hyperlink"/>
          <w:rFonts w:ascii="Calibri Light" w:hAnsi="Calibri Light" w:cs="Calibri Light"/>
          <w:color w:val="auto"/>
        </w:rPr>
      </w:pPr>
    </w:p>
    <w:p w14:paraId="6D5A9769" w14:textId="476F7C39" w:rsidR="0060218E" w:rsidRDefault="0060218E" w:rsidP="00A379B6">
      <w:pPr>
        <w:pStyle w:val="PABullet1"/>
        <w:ind w:left="720"/>
        <w:rPr>
          <w:rStyle w:val="Hyperlink"/>
          <w:rFonts w:ascii="Calibri Light" w:hAnsi="Calibri Light" w:cs="Calibri Light"/>
          <w:color w:val="auto"/>
        </w:rPr>
      </w:pPr>
    </w:p>
    <w:p w14:paraId="1AFD71E6" w14:textId="08073A35" w:rsidR="0060218E" w:rsidRDefault="0060218E" w:rsidP="00A379B6">
      <w:pPr>
        <w:pStyle w:val="PABullet1"/>
        <w:ind w:left="720"/>
        <w:rPr>
          <w:rStyle w:val="Hyperlink"/>
          <w:rFonts w:ascii="Calibri Light" w:hAnsi="Calibri Light" w:cs="Calibri Light"/>
          <w:color w:val="auto"/>
        </w:rPr>
      </w:pPr>
    </w:p>
    <w:p w14:paraId="1850B8D5" w14:textId="6BCF71FB" w:rsidR="0060218E" w:rsidRDefault="0060218E" w:rsidP="00A379B6">
      <w:pPr>
        <w:pStyle w:val="PABullet1"/>
        <w:ind w:left="720"/>
        <w:rPr>
          <w:rStyle w:val="Hyperlink"/>
          <w:rFonts w:ascii="Calibri Light" w:hAnsi="Calibri Light" w:cs="Calibri Light"/>
          <w:color w:val="auto"/>
        </w:rPr>
      </w:pPr>
    </w:p>
    <w:p w14:paraId="1054A9A4" w14:textId="1AFCAB02" w:rsidR="0060218E" w:rsidRDefault="0060218E" w:rsidP="00A379B6">
      <w:pPr>
        <w:pStyle w:val="PABullet1"/>
        <w:ind w:left="720"/>
        <w:rPr>
          <w:rStyle w:val="Hyperlink"/>
          <w:rFonts w:ascii="Calibri Light" w:hAnsi="Calibri Light" w:cs="Calibri Light"/>
          <w:color w:val="auto"/>
        </w:rPr>
      </w:pPr>
    </w:p>
    <w:p w14:paraId="6A392891" w14:textId="2DD62F66" w:rsidR="0060218E" w:rsidRDefault="0060218E" w:rsidP="00A379B6">
      <w:pPr>
        <w:pStyle w:val="PABullet1"/>
        <w:ind w:left="720"/>
        <w:rPr>
          <w:rStyle w:val="Hyperlink"/>
          <w:rFonts w:ascii="Calibri Light" w:hAnsi="Calibri Light" w:cs="Calibri Light"/>
          <w:color w:val="auto"/>
        </w:rPr>
      </w:pPr>
    </w:p>
    <w:p w14:paraId="129C46E8" w14:textId="77777777" w:rsidR="0060218E" w:rsidRDefault="0060218E" w:rsidP="00A379B6">
      <w:pPr>
        <w:pStyle w:val="PABullet1"/>
        <w:ind w:left="720"/>
        <w:rPr>
          <w:rStyle w:val="Hyperlink"/>
          <w:rFonts w:ascii="Calibri Light" w:hAnsi="Calibri Light" w:cs="Calibri Light"/>
          <w:color w:val="auto"/>
        </w:rPr>
      </w:pPr>
    </w:p>
    <w:p w14:paraId="199CD205" w14:textId="603C5237" w:rsidR="00F31BCE" w:rsidRPr="00493116" w:rsidRDefault="00302B42" w:rsidP="00EA1E1F">
      <w:pPr>
        <w:spacing w:before="2400" w:after="120" w:line="180" w:lineRule="atLeast"/>
        <w:ind w:right="5387"/>
        <w:rPr>
          <w:rFonts w:ascii="Calibri Light" w:hAnsi="Calibri Light" w:cs="Calibri Light"/>
          <w:b/>
          <w:sz w:val="14"/>
          <w:szCs w:val="14"/>
        </w:rPr>
      </w:pPr>
      <w:r w:rsidRPr="00493116">
        <w:rPr>
          <w:rFonts w:ascii="Calibri Light" w:hAnsi="Calibri Light" w:cs="Calibri Light"/>
          <w:noProof/>
          <w:sz w:val="20"/>
          <w:szCs w:val="20"/>
        </w:rPr>
        <w:drawing>
          <wp:anchor distT="0" distB="0" distL="114300" distR="114300" simplePos="0" relativeHeight="251671552" behindDoc="1" locked="0" layoutInCell="1" allowOverlap="1" wp14:anchorId="0A927EED" wp14:editId="6B8C28E0">
            <wp:simplePos x="0" y="0"/>
            <wp:positionH relativeFrom="margin">
              <wp:align>left</wp:align>
            </wp:positionH>
            <wp:positionV relativeFrom="paragraph">
              <wp:posOffset>1013460</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21C4D7EB" w14:textId="5CA27A57" w:rsidR="00AE2221" w:rsidRPr="00493116" w:rsidRDefault="00AE2221" w:rsidP="00A061D0">
      <w:pPr>
        <w:spacing w:before="120" w:after="120" w:line="180" w:lineRule="atLeast"/>
        <w:ind w:right="5387"/>
        <w:rPr>
          <w:rFonts w:ascii="Calibri Light" w:hAnsi="Calibri Light" w:cs="Calibri Light"/>
          <w:b/>
          <w:sz w:val="14"/>
          <w:szCs w:val="14"/>
        </w:rPr>
      </w:pPr>
    </w:p>
    <w:p w14:paraId="7520FAAC" w14:textId="2DF74090" w:rsidR="000E7C6E" w:rsidRPr="005A24CC" w:rsidRDefault="000E7C6E" w:rsidP="00F70CD0">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D3D9791" w14:textId="2F61B55A" w:rsidR="000E7C6E" w:rsidRPr="005A24CC" w:rsidRDefault="00F73AE9" w:rsidP="00F70CD0">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37" w:history="1">
        <w:r w:rsidR="00391875"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0EEC4B8D" w14:textId="5FB5B31B" w:rsidR="000E7C6E" w:rsidRPr="005A24CC" w:rsidRDefault="000E7C6E" w:rsidP="00030E74">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Copyright © </w:t>
      </w:r>
      <w:r w:rsidR="009F62C2" w:rsidRPr="005A24CC">
        <w:rPr>
          <w:rFonts w:ascii="Calibri Light" w:hAnsi="Calibri Light" w:cs="Calibri Light"/>
          <w:sz w:val="16"/>
          <w:szCs w:val="16"/>
        </w:rPr>
        <w:t>202</w:t>
      </w:r>
      <w:r w:rsidR="009F62C2">
        <w:rPr>
          <w:rFonts w:ascii="Calibri Light" w:hAnsi="Calibri Light" w:cs="Calibri Light"/>
          <w:sz w:val="16"/>
          <w:szCs w:val="16"/>
        </w:rPr>
        <w:t>2</w:t>
      </w:r>
      <w:r w:rsidR="009F62C2" w:rsidRPr="005A24CC">
        <w:rPr>
          <w:rFonts w:ascii="Calibri Light" w:hAnsi="Calibri Light" w:cs="Calibri Light"/>
          <w:sz w:val="16"/>
          <w:szCs w:val="16"/>
        </w:rPr>
        <w:t xml:space="preserve"> </w:t>
      </w:r>
      <w:r w:rsidRPr="005A24CC">
        <w:rPr>
          <w:rFonts w:ascii="Calibri Light" w:hAnsi="Calibri Light" w:cs="Calibri Light"/>
          <w:sz w:val="16"/>
          <w:szCs w:val="16"/>
        </w:rPr>
        <w:t>Deloitte Development LLC. All rights reserved.</w:t>
      </w:r>
    </w:p>
    <w:p w14:paraId="1A1B2AB4" w14:textId="77777777" w:rsidR="00E668C3" w:rsidRPr="005A24CC" w:rsidRDefault="00E668C3" w:rsidP="00030E74">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sectPr w:rsidR="00E668C3" w:rsidRPr="005A24CC" w:rsidSect="00FD4ACE">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70BB0" w14:textId="77777777" w:rsidR="00301C41" w:rsidRDefault="00301C41" w:rsidP="00C612CD">
      <w:r>
        <w:separator/>
      </w:r>
    </w:p>
    <w:p w14:paraId="11D822FA" w14:textId="77777777" w:rsidR="00301C41" w:rsidRDefault="00301C41" w:rsidP="00C612CD"/>
  </w:endnote>
  <w:endnote w:type="continuationSeparator" w:id="0">
    <w:p w14:paraId="5FF2C4F0" w14:textId="77777777" w:rsidR="00301C41" w:rsidRDefault="00301C41" w:rsidP="00C612CD">
      <w:r>
        <w:continuationSeparator/>
      </w:r>
    </w:p>
    <w:p w14:paraId="7F7A1CC6" w14:textId="77777777" w:rsidR="00301C41" w:rsidRDefault="00301C41" w:rsidP="00C612CD"/>
  </w:endnote>
  <w:endnote w:type="continuationNotice" w:id="1">
    <w:p w14:paraId="72C2C9C8" w14:textId="77777777" w:rsidR="00301C41" w:rsidRDefault="00301C41"/>
    <w:p w14:paraId="35C3FCE3" w14:textId="77777777" w:rsidR="00301C41" w:rsidRDefault="0030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5967" w14:textId="77777777" w:rsidR="00BE3634" w:rsidRDefault="00BE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A7E4" w14:textId="77777777" w:rsidR="00BE3634" w:rsidRDefault="00BE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D24DF" w14:textId="77777777" w:rsidR="00301C41" w:rsidRDefault="00301C41" w:rsidP="00C612CD">
      <w:r>
        <w:separator/>
      </w:r>
    </w:p>
  </w:footnote>
  <w:footnote w:type="continuationSeparator" w:id="0">
    <w:p w14:paraId="2043899E" w14:textId="77777777" w:rsidR="00301C41" w:rsidRDefault="00301C41" w:rsidP="00C612CD">
      <w:r>
        <w:continuationSeparator/>
      </w:r>
    </w:p>
  </w:footnote>
  <w:footnote w:type="continuationNotice" w:id="1">
    <w:p w14:paraId="49828980" w14:textId="77777777" w:rsidR="00301C41" w:rsidRPr="00DF1F95" w:rsidRDefault="00301C41" w:rsidP="00DF1F95">
      <w:pPr>
        <w:pStyle w:val="Footer"/>
      </w:pPr>
    </w:p>
  </w:footnote>
  <w:footnote w:id="2">
    <w:p w14:paraId="7A965C10" w14:textId="6A8E3972" w:rsidR="004D475B" w:rsidRPr="00E90D62" w:rsidRDefault="004D475B" w:rsidP="00302B42">
      <w:pPr>
        <w:pStyle w:val="FootnoteText"/>
        <w:rPr>
          <w:szCs w:val="16"/>
          <w:lang w:val="en-US"/>
        </w:rPr>
      </w:pPr>
      <w:r w:rsidRPr="00E90D62">
        <w:rPr>
          <w:rStyle w:val="FootnoteReference"/>
          <w:rFonts w:ascii="Calibri Light" w:hAnsi="Calibri Light" w:cs="Calibri Light"/>
          <w:szCs w:val="16"/>
        </w:rPr>
        <w:footnoteRef/>
      </w:r>
      <w:r w:rsidRPr="00E90D62">
        <w:rPr>
          <w:rStyle w:val="FootnoteReference"/>
          <w:rFonts w:ascii="Calibri Light" w:hAnsi="Calibri Light" w:cs="Calibri Light"/>
          <w:szCs w:val="16"/>
        </w:rPr>
        <w:t xml:space="preserve"> </w:t>
      </w:r>
      <w:r w:rsidRPr="00E90D62">
        <w:rPr>
          <w:rStyle w:val="FootnoteReference"/>
          <w:rFonts w:ascii="Calibri Light" w:hAnsi="Calibri Light" w:cs="Calibri Light"/>
          <w:szCs w:val="16"/>
        </w:rPr>
        <w:tab/>
      </w:r>
      <w:r w:rsidRPr="00E90D62">
        <w:rPr>
          <w:rStyle w:val="FootnoteReference"/>
          <w:rFonts w:ascii="Calibri Light" w:hAnsi="Calibri Light" w:cs="Calibri Light"/>
          <w:szCs w:val="16"/>
          <w:vertAlign w:val="baseline"/>
        </w:rPr>
        <w:t>Users complete framing questions within the Checklist in the Deloitte Disclosure Analytics suite to scope Topics and Subtopics into the checklist based on what is applicable for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D811" w14:textId="77777777" w:rsidR="00BE3634" w:rsidRDefault="00BE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61FF" w14:textId="77777777" w:rsidR="00BE3634" w:rsidRDefault="00BE3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802C2" w14:textId="77777777" w:rsidR="00BE3634" w:rsidRDefault="00BE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30C"/>
    <w:multiLevelType w:val="hybridMultilevel"/>
    <w:tmpl w:val="A99AE4BE"/>
    <w:lvl w:ilvl="0" w:tplc="7BDE534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7724C6"/>
    <w:multiLevelType w:val="hybridMultilevel"/>
    <w:tmpl w:val="2F7AE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165486F"/>
    <w:multiLevelType w:val="hybridMultilevel"/>
    <w:tmpl w:val="B566791C"/>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2757F15"/>
    <w:multiLevelType w:val="hybridMultilevel"/>
    <w:tmpl w:val="B0C2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25242"/>
    <w:multiLevelType w:val="hybridMultilevel"/>
    <w:tmpl w:val="0E68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62909"/>
    <w:multiLevelType w:val="hybridMultilevel"/>
    <w:tmpl w:val="1166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32E6B"/>
    <w:multiLevelType w:val="hybridMultilevel"/>
    <w:tmpl w:val="386E2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001642"/>
    <w:multiLevelType w:val="hybridMultilevel"/>
    <w:tmpl w:val="24A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0464F"/>
    <w:multiLevelType w:val="hybridMultilevel"/>
    <w:tmpl w:val="EDF8FB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D2484"/>
    <w:multiLevelType w:val="hybridMultilevel"/>
    <w:tmpl w:val="1772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375"/>
    <w:multiLevelType w:val="hybridMultilevel"/>
    <w:tmpl w:val="90F23626"/>
    <w:lvl w:ilvl="0" w:tplc="7BDE5342">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E976C1"/>
    <w:multiLevelType w:val="hybridMultilevel"/>
    <w:tmpl w:val="2D929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8" w15:restartNumberingAfterBreak="0">
    <w:nsid w:val="6FA26101"/>
    <w:multiLevelType w:val="hybridMultilevel"/>
    <w:tmpl w:val="83B062D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457A7"/>
    <w:multiLevelType w:val="multilevel"/>
    <w:tmpl w:val="194CCB8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C43DA"/>
    <w:multiLevelType w:val="hybridMultilevel"/>
    <w:tmpl w:val="86888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A91AB0"/>
    <w:multiLevelType w:val="hybridMultilevel"/>
    <w:tmpl w:val="13C831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75CC2"/>
    <w:multiLevelType w:val="hybridMultilevel"/>
    <w:tmpl w:val="67E63C7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F367E"/>
    <w:multiLevelType w:val="hybridMultilevel"/>
    <w:tmpl w:val="64604D8E"/>
    <w:lvl w:ilvl="0" w:tplc="7BDE5342">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9575E"/>
    <w:multiLevelType w:val="hybridMultilevel"/>
    <w:tmpl w:val="D44AC7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
  </w:num>
  <w:num w:numId="4">
    <w:abstractNumId w:val="28"/>
  </w:num>
  <w:num w:numId="5">
    <w:abstractNumId w:val="3"/>
  </w:num>
  <w:num w:numId="6">
    <w:abstractNumId w:val="7"/>
  </w:num>
  <w:num w:numId="7">
    <w:abstractNumId w:val="24"/>
  </w:num>
  <w:num w:numId="8">
    <w:abstractNumId w:val="5"/>
  </w:num>
  <w:num w:numId="9">
    <w:abstractNumId w:val="0"/>
  </w:num>
  <w:num w:numId="10">
    <w:abstractNumId w:val="27"/>
  </w:num>
  <w:num w:numId="11">
    <w:abstractNumId w:val="6"/>
  </w:num>
  <w:num w:numId="12">
    <w:abstractNumId w:val="20"/>
  </w:num>
  <w:num w:numId="13">
    <w:abstractNumId w:val="22"/>
  </w:num>
  <w:num w:numId="14">
    <w:abstractNumId w:val="8"/>
  </w:num>
  <w:num w:numId="15">
    <w:abstractNumId w:val="11"/>
  </w:num>
  <w:num w:numId="16">
    <w:abstractNumId w:val="18"/>
  </w:num>
  <w:num w:numId="17">
    <w:abstractNumId w:val="4"/>
  </w:num>
  <w:num w:numId="18">
    <w:abstractNumId w:val="19"/>
  </w:num>
  <w:num w:numId="19">
    <w:abstractNumId w:val="10"/>
  </w:num>
  <w:num w:numId="20">
    <w:abstractNumId w:val="25"/>
  </w:num>
  <w:num w:numId="21">
    <w:abstractNumId w:val="25"/>
  </w:num>
  <w:num w:numId="22">
    <w:abstractNumId w:val="25"/>
  </w:num>
  <w:num w:numId="23">
    <w:abstractNumId w:val="12"/>
  </w:num>
  <w:num w:numId="24">
    <w:abstractNumId w:val="14"/>
  </w:num>
  <w:num w:numId="25">
    <w:abstractNumId w:val="21"/>
  </w:num>
  <w:num w:numId="26">
    <w:abstractNumId w:val="1"/>
  </w:num>
  <w:num w:numId="27">
    <w:abstractNumId w:val="26"/>
  </w:num>
  <w:num w:numId="28">
    <w:abstractNumId w:val="6"/>
  </w:num>
  <w:num w:numId="29">
    <w:abstractNumId w:val="6"/>
  </w:num>
  <w:num w:numId="30">
    <w:abstractNumId w:val="25"/>
  </w:num>
  <w:num w:numId="31">
    <w:abstractNumId w:val="9"/>
  </w:num>
  <w:num w:numId="32">
    <w:abstractNumId w:val="16"/>
  </w:num>
  <w:num w:numId="33">
    <w:abstractNumId w:val="13"/>
  </w:num>
  <w:num w:numId="34">
    <w:abstractNumId w:val="15"/>
  </w:num>
  <w:num w:numId="3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239"/>
    <w:rsid w:val="0000482D"/>
    <w:rsid w:val="00004C40"/>
    <w:rsid w:val="00004E6B"/>
    <w:rsid w:val="00005603"/>
    <w:rsid w:val="000059C1"/>
    <w:rsid w:val="000061C3"/>
    <w:rsid w:val="00006293"/>
    <w:rsid w:val="0000635F"/>
    <w:rsid w:val="00007393"/>
    <w:rsid w:val="000074DB"/>
    <w:rsid w:val="000077B4"/>
    <w:rsid w:val="00010799"/>
    <w:rsid w:val="000109FD"/>
    <w:rsid w:val="0001126A"/>
    <w:rsid w:val="00012A5D"/>
    <w:rsid w:val="000135AA"/>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90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E31"/>
    <w:rsid w:val="000A1000"/>
    <w:rsid w:val="000A2A6F"/>
    <w:rsid w:val="000A2ABD"/>
    <w:rsid w:val="000A46FA"/>
    <w:rsid w:val="000A47D9"/>
    <w:rsid w:val="000A4903"/>
    <w:rsid w:val="000A5309"/>
    <w:rsid w:val="000A5406"/>
    <w:rsid w:val="000A5EA7"/>
    <w:rsid w:val="000A6173"/>
    <w:rsid w:val="000A6748"/>
    <w:rsid w:val="000A731A"/>
    <w:rsid w:val="000A733C"/>
    <w:rsid w:val="000A75A3"/>
    <w:rsid w:val="000A7AD1"/>
    <w:rsid w:val="000A7BBA"/>
    <w:rsid w:val="000A7F3E"/>
    <w:rsid w:val="000B02BD"/>
    <w:rsid w:val="000B0523"/>
    <w:rsid w:val="000B076B"/>
    <w:rsid w:val="000B1C92"/>
    <w:rsid w:val="000B2A02"/>
    <w:rsid w:val="000B2F5E"/>
    <w:rsid w:val="000B3234"/>
    <w:rsid w:val="000B3B4D"/>
    <w:rsid w:val="000B3E8A"/>
    <w:rsid w:val="000B415C"/>
    <w:rsid w:val="000B4778"/>
    <w:rsid w:val="000B60D1"/>
    <w:rsid w:val="000B60FF"/>
    <w:rsid w:val="000B78B5"/>
    <w:rsid w:val="000C11E4"/>
    <w:rsid w:val="000C1635"/>
    <w:rsid w:val="000C17BF"/>
    <w:rsid w:val="000C239E"/>
    <w:rsid w:val="000C3283"/>
    <w:rsid w:val="000C376A"/>
    <w:rsid w:val="000C4443"/>
    <w:rsid w:val="000C4AF7"/>
    <w:rsid w:val="000C4D11"/>
    <w:rsid w:val="000C552A"/>
    <w:rsid w:val="000C56B8"/>
    <w:rsid w:val="000C6D02"/>
    <w:rsid w:val="000C784B"/>
    <w:rsid w:val="000C7EC5"/>
    <w:rsid w:val="000D063B"/>
    <w:rsid w:val="000D15A2"/>
    <w:rsid w:val="000D20B1"/>
    <w:rsid w:val="000D264C"/>
    <w:rsid w:val="000D2959"/>
    <w:rsid w:val="000D3BD1"/>
    <w:rsid w:val="000D40A6"/>
    <w:rsid w:val="000D4FD6"/>
    <w:rsid w:val="000D582C"/>
    <w:rsid w:val="000D5B1C"/>
    <w:rsid w:val="000D65AA"/>
    <w:rsid w:val="000D737B"/>
    <w:rsid w:val="000D7FD3"/>
    <w:rsid w:val="000E00EE"/>
    <w:rsid w:val="000E0341"/>
    <w:rsid w:val="000E07D3"/>
    <w:rsid w:val="000E0BB8"/>
    <w:rsid w:val="000E1A8A"/>
    <w:rsid w:val="000E1E09"/>
    <w:rsid w:val="000E24B7"/>
    <w:rsid w:val="000E2865"/>
    <w:rsid w:val="000E2FCB"/>
    <w:rsid w:val="000E3701"/>
    <w:rsid w:val="000E43D2"/>
    <w:rsid w:val="000E44E7"/>
    <w:rsid w:val="000E46FB"/>
    <w:rsid w:val="000E481F"/>
    <w:rsid w:val="000E6063"/>
    <w:rsid w:val="000E663A"/>
    <w:rsid w:val="000E6D1F"/>
    <w:rsid w:val="000E7C6E"/>
    <w:rsid w:val="000F0343"/>
    <w:rsid w:val="000F0A6C"/>
    <w:rsid w:val="000F1CB6"/>
    <w:rsid w:val="000F1DB5"/>
    <w:rsid w:val="000F1DC5"/>
    <w:rsid w:val="000F26BD"/>
    <w:rsid w:val="000F3095"/>
    <w:rsid w:val="000F30B3"/>
    <w:rsid w:val="000F5112"/>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D"/>
    <w:rsid w:val="00130F83"/>
    <w:rsid w:val="001310F9"/>
    <w:rsid w:val="001314CB"/>
    <w:rsid w:val="00133914"/>
    <w:rsid w:val="00133B6E"/>
    <w:rsid w:val="00133CFF"/>
    <w:rsid w:val="00134605"/>
    <w:rsid w:val="0013504F"/>
    <w:rsid w:val="00135F40"/>
    <w:rsid w:val="00137161"/>
    <w:rsid w:val="00137259"/>
    <w:rsid w:val="00137638"/>
    <w:rsid w:val="001404F7"/>
    <w:rsid w:val="00140B1B"/>
    <w:rsid w:val="00140C3B"/>
    <w:rsid w:val="00141683"/>
    <w:rsid w:val="0014223C"/>
    <w:rsid w:val="0014254C"/>
    <w:rsid w:val="00144592"/>
    <w:rsid w:val="0014471D"/>
    <w:rsid w:val="001477A3"/>
    <w:rsid w:val="00147A59"/>
    <w:rsid w:val="00150207"/>
    <w:rsid w:val="0015029C"/>
    <w:rsid w:val="00150956"/>
    <w:rsid w:val="0015107E"/>
    <w:rsid w:val="001510D4"/>
    <w:rsid w:val="00154BAB"/>
    <w:rsid w:val="00154BF5"/>
    <w:rsid w:val="0015511E"/>
    <w:rsid w:val="00156218"/>
    <w:rsid w:val="001562DA"/>
    <w:rsid w:val="00156B0C"/>
    <w:rsid w:val="00156EF6"/>
    <w:rsid w:val="001570BF"/>
    <w:rsid w:val="001572E9"/>
    <w:rsid w:val="00157704"/>
    <w:rsid w:val="001577B7"/>
    <w:rsid w:val="00157B71"/>
    <w:rsid w:val="0016232C"/>
    <w:rsid w:val="0016328F"/>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75A"/>
    <w:rsid w:val="00184F65"/>
    <w:rsid w:val="001854EE"/>
    <w:rsid w:val="00185D18"/>
    <w:rsid w:val="00186EBE"/>
    <w:rsid w:val="00186EF1"/>
    <w:rsid w:val="00187B1D"/>
    <w:rsid w:val="00190635"/>
    <w:rsid w:val="00190B83"/>
    <w:rsid w:val="00190C30"/>
    <w:rsid w:val="00191D9F"/>
    <w:rsid w:val="00192044"/>
    <w:rsid w:val="00192380"/>
    <w:rsid w:val="0019245A"/>
    <w:rsid w:val="00193904"/>
    <w:rsid w:val="001944ED"/>
    <w:rsid w:val="00194F3F"/>
    <w:rsid w:val="0019500E"/>
    <w:rsid w:val="001951CC"/>
    <w:rsid w:val="0019539E"/>
    <w:rsid w:val="00195C16"/>
    <w:rsid w:val="0019712B"/>
    <w:rsid w:val="0019754A"/>
    <w:rsid w:val="00197BBC"/>
    <w:rsid w:val="001A03C1"/>
    <w:rsid w:val="001A064A"/>
    <w:rsid w:val="001A0925"/>
    <w:rsid w:val="001A1182"/>
    <w:rsid w:val="001A19B5"/>
    <w:rsid w:val="001A19EF"/>
    <w:rsid w:val="001A20EA"/>
    <w:rsid w:val="001A3041"/>
    <w:rsid w:val="001A4402"/>
    <w:rsid w:val="001A49A0"/>
    <w:rsid w:val="001A6059"/>
    <w:rsid w:val="001A6552"/>
    <w:rsid w:val="001A6811"/>
    <w:rsid w:val="001A6843"/>
    <w:rsid w:val="001A77C9"/>
    <w:rsid w:val="001A7AA5"/>
    <w:rsid w:val="001A7E02"/>
    <w:rsid w:val="001B073E"/>
    <w:rsid w:val="001B082B"/>
    <w:rsid w:val="001B1494"/>
    <w:rsid w:val="001B1AC3"/>
    <w:rsid w:val="001B2A68"/>
    <w:rsid w:val="001B3B94"/>
    <w:rsid w:val="001B4E00"/>
    <w:rsid w:val="001B570D"/>
    <w:rsid w:val="001B5D57"/>
    <w:rsid w:val="001B64A3"/>
    <w:rsid w:val="001B6D39"/>
    <w:rsid w:val="001B72EA"/>
    <w:rsid w:val="001B74A5"/>
    <w:rsid w:val="001B7E65"/>
    <w:rsid w:val="001B7ED5"/>
    <w:rsid w:val="001C0514"/>
    <w:rsid w:val="001C0B33"/>
    <w:rsid w:val="001C1813"/>
    <w:rsid w:val="001C21FC"/>
    <w:rsid w:val="001C2A62"/>
    <w:rsid w:val="001C3768"/>
    <w:rsid w:val="001C389F"/>
    <w:rsid w:val="001C4319"/>
    <w:rsid w:val="001C4C7C"/>
    <w:rsid w:val="001C7375"/>
    <w:rsid w:val="001D02F2"/>
    <w:rsid w:val="001D0327"/>
    <w:rsid w:val="001D0B0C"/>
    <w:rsid w:val="001D0C3C"/>
    <w:rsid w:val="001D26A4"/>
    <w:rsid w:val="001D2DE5"/>
    <w:rsid w:val="001D49A6"/>
    <w:rsid w:val="001D54F1"/>
    <w:rsid w:val="001D586A"/>
    <w:rsid w:val="001D5B12"/>
    <w:rsid w:val="001D62FD"/>
    <w:rsid w:val="001D65B8"/>
    <w:rsid w:val="001D6CB9"/>
    <w:rsid w:val="001D78DC"/>
    <w:rsid w:val="001E03AA"/>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318D"/>
    <w:rsid w:val="001F3318"/>
    <w:rsid w:val="001F3441"/>
    <w:rsid w:val="001F3CF0"/>
    <w:rsid w:val="001F4D64"/>
    <w:rsid w:val="001F4E45"/>
    <w:rsid w:val="001F5403"/>
    <w:rsid w:val="001F544B"/>
    <w:rsid w:val="001F56CC"/>
    <w:rsid w:val="001F587B"/>
    <w:rsid w:val="001F58F2"/>
    <w:rsid w:val="001F7E23"/>
    <w:rsid w:val="002000DA"/>
    <w:rsid w:val="0020033A"/>
    <w:rsid w:val="0020035F"/>
    <w:rsid w:val="00200C68"/>
    <w:rsid w:val="00200D31"/>
    <w:rsid w:val="0020422B"/>
    <w:rsid w:val="002043D8"/>
    <w:rsid w:val="00204497"/>
    <w:rsid w:val="0020466F"/>
    <w:rsid w:val="0020497C"/>
    <w:rsid w:val="002049BF"/>
    <w:rsid w:val="002052F0"/>
    <w:rsid w:val="00205649"/>
    <w:rsid w:val="00205B56"/>
    <w:rsid w:val="00206548"/>
    <w:rsid w:val="0020690A"/>
    <w:rsid w:val="00206DD6"/>
    <w:rsid w:val="0020776B"/>
    <w:rsid w:val="0021292A"/>
    <w:rsid w:val="002129C7"/>
    <w:rsid w:val="00212DCD"/>
    <w:rsid w:val="00213579"/>
    <w:rsid w:val="002139BE"/>
    <w:rsid w:val="00214705"/>
    <w:rsid w:val="002155D0"/>
    <w:rsid w:val="002176A0"/>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502BB"/>
    <w:rsid w:val="00250917"/>
    <w:rsid w:val="00250C70"/>
    <w:rsid w:val="00252028"/>
    <w:rsid w:val="00252846"/>
    <w:rsid w:val="00252C14"/>
    <w:rsid w:val="00252D1E"/>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595B"/>
    <w:rsid w:val="00275F6F"/>
    <w:rsid w:val="00276EB1"/>
    <w:rsid w:val="002804A0"/>
    <w:rsid w:val="0028073D"/>
    <w:rsid w:val="0028116B"/>
    <w:rsid w:val="002818A5"/>
    <w:rsid w:val="002820E0"/>
    <w:rsid w:val="0028220B"/>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40D"/>
    <w:rsid w:val="002B08A6"/>
    <w:rsid w:val="002B10D4"/>
    <w:rsid w:val="002B193D"/>
    <w:rsid w:val="002B2731"/>
    <w:rsid w:val="002B2AE3"/>
    <w:rsid w:val="002B2FC3"/>
    <w:rsid w:val="002B3BBB"/>
    <w:rsid w:val="002B424C"/>
    <w:rsid w:val="002B4E77"/>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DE1"/>
    <w:rsid w:val="002F6207"/>
    <w:rsid w:val="002F6DFE"/>
    <w:rsid w:val="002F6EAE"/>
    <w:rsid w:val="002F7101"/>
    <w:rsid w:val="0030081F"/>
    <w:rsid w:val="0030125B"/>
    <w:rsid w:val="00301B38"/>
    <w:rsid w:val="00301C41"/>
    <w:rsid w:val="00301C4A"/>
    <w:rsid w:val="003028AD"/>
    <w:rsid w:val="00302B42"/>
    <w:rsid w:val="00302ED0"/>
    <w:rsid w:val="0030460F"/>
    <w:rsid w:val="00304620"/>
    <w:rsid w:val="00304990"/>
    <w:rsid w:val="00304B10"/>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357"/>
    <w:rsid w:val="00317BE9"/>
    <w:rsid w:val="00317D20"/>
    <w:rsid w:val="00320018"/>
    <w:rsid w:val="003205A2"/>
    <w:rsid w:val="00320EF5"/>
    <w:rsid w:val="003219AB"/>
    <w:rsid w:val="00323202"/>
    <w:rsid w:val="003238B3"/>
    <w:rsid w:val="00323A0A"/>
    <w:rsid w:val="00323D9D"/>
    <w:rsid w:val="003246DA"/>
    <w:rsid w:val="00324E4E"/>
    <w:rsid w:val="003250CE"/>
    <w:rsid w:val="003255DB"/>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7135"/>
    <w:rsid w:val="00337548"/>
    <w:rsid w:val="00337708"/>
    <w:rsid w:val="00340CA9"/>
    <w:rsid w:val="003416E1"/>
    <w:rsid w:val="00341DED"/>
    <w:rsid w:val="0034292B"/>
    <w:rsid w:val="00343D94"/>
    <w:rsid w:val="00344876"/>
    <w:rsid w:val="003449E7"/>
    <w:rsid w:val="00346385"/>
    <w:rsid w:val="003478E2"/>
    <w:rsid w:val="003479E5"/>
    <w:rsid w:val="00347B20"/>
    <w:rsid w:val="00350F66"/>
    <w:rsid w:val="00350F9D"/>
    <w:rsid w:val="0035100C"/>
    <w:rsid w:val="003515A3"/>
    <w:rsid w:val="003518BC"/>
    <w:rsid w:val="00352101"/>
    <w:rsid w:val="00352BC3"/>
    <w:rsid w:val="003539BD"/>
    <w:rsid w:val="00353A61"/>
    <w:rsid w:val="00354D7D"/>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2CE"/>
    <w:rsid w:val="00375510"/>
    <w:rsid w:val="00375AFC"/>
    <w:rsid w:val="00376BE3"/>
    <w:rsid w:val="00376F4D"/>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90D"/>
    <w:rsid w:val="003A23AF"/>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23FB"/>
    <w:rsid w:val="003D35A5"/>
    <w:rsid w:val="003D3819"/>
    <w:rsid w:val="003D3E86"/>
    <w:rsid w:val="003D4E42"/>
    <w:rsid w:val="003D50FA"/>
    <w:rsid w:val="003D55F3"/>
    <w:rsid w:val="003D5D91"/>
    <w:rsid w:val="003D5FAD"/>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336D"/>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3409"/>
    <w:rsid w:val="00413972"/>
    <w:rsid w:val="00414374"/>
    <w:rsid w:val="00415D4E"/>
    <w:rsid w:val="004177BB"/>
    <w:rsid w:val="00421E21"/>
    <w:rsid w:val="004235D6"/>
    <w:rsid w:val="00423A6C"/>
    <w:rsid w:val="00423C63"/>
    <w:rsid w:val="00424944"/>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9C7"/>
    <w:rsid w:val="00435051"/>
    <w:rsid w:val="00435A59"/>
    <w:rsid w:val="00435B49"/>
    <w:rsid w:val="004366E3"/>
    <w:rsid w:val="004374DC"/>
    <w:rsid w:val="00437AC3"/>
    <w:rsid w:val="0044143D"/>
    <w:rsid w:val="00441FB0"/>
    <w:rsid w:val="00442B04"/>
    <w:rsid w:val="00443D6C"/>
    <w:rsid w:val="00443F93"/>
    <w:rsid w:val="00445486"/>
    <w:rsid w:val="00446CEC"/>
    <w:rsid w:val="00447337"/>
    <w:rsid w:val="0044762B"/>
    <w:rsid w:val="0045051F"/>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337"/>
    <w:rsid w:val="0047184F"/>
    <w:rsid w:val="00472D60"/>
    <w:rsid w:val="00472E68"/>
    <w:rsid w:val="00472F07"/>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39E8"/>
    <w:rsid w:val="004842B2"/>
    <w:rsid w:val="004843BA"/>
    <w:rsid w:val="004846ED"/>
    <w:rsid w:val="00484836"/>
    <w:rsid w:val="0048506D"/>
    <w:rsid w:val="00485292"/>
    <w:rsid w:val="00485458"/>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32D8"/>
    <w:rsid w:val="004A3339"/>
    <w:rsid w:val="004A42D4"/>
    <w:rsid w:val="004A4ED6"/>
    <w:rsid w:val="004A50BD"/>
    <w:rsid w:val="004A5E3F"/>
    <w:rsid w:val="004A5FF7"/>
    <w:rsid w:val="004A6252"/>
    <w:rsid w:val="004A6462"/>
    <w:rsid w:val="004A6EC8"/>
    <w:rsid w:val="004A76AF"/>
    <w:rsid w:val="004A774C"/>
    <w:rsid w:val="004A7767"/>
    <w:rsid w:val="004B0022"/>
    <w:rsid w:val="004B01C2"/>
    <w:rsid w:val="004B0B99"/>
    <w:rsid w:val="004B1423"/>
    <w:rsid w:val="004B1F03"/>
    <w:rsid w:val="004B28AE"/>
    <w:rsid w:val="004B3791"/>
    <w:rsid w:val="004B458F"/>
    <w:rsid w:val="004B53F0"/>
    <w:rsid w:val="004B59A2"/>
    <w:rsid w:val="004B629D"/>
    <w:rsid w:val="004B6983"/>
    <w:rsid w:val="004B6A81"/>
    <w:rsid w:val="004B6E1C"/>
    <w:rsid w:val="004B6F06"/>
    <w:rsid w:val="004B72A2"/>
    <w:rsid w:val="004B7788"/>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FA9"/>
    <w:rsid w:val="004F32AE"/>
    <w:rsid w:val="004F3478"/>
    <w:rsid w:val="004F3C56"/>
    <w:rsid w:val="004F402D"/>
    <w:rsid w:val="004F4DCF"/>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82C"/>
    <w:rsid w:val="00511DCE"/>
    <w:rsid w:val="005136D5"/>
    <w:rsid w:val="0051451A"/>
    <w:rsid w:val="00514741"/>
    <w:rsid w:val="00514A2C"/>
    <w:rsid w:val="00516794"/>
    <w:rsid w:val="005167CD"/>
    <w:rsid w:val="0051697B"/>
    <w:rsid w:val="0052149A"/>
    <w:rsid w:val="005217B9"/>
    <w:rsid w:val="00521D07"/>
    <w:rsid w:val="00521D8A"/>
    <w:rsid w:val="005224DB"/>
    <w:rsid w:val="005232A7"/>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C3A"/>
    <w:rsid w:val="00534CB0"/>
    <w:rsid w:val="005350A2"/>
    <w:rsid w:val="00535676"/>
    <w:rsid w:val="00536E95"/>
    <w:rsid w:val="00536F9B"/>
    <w:rsid w:val="00537492"/>
    <w:rsid w:val="00541907"/>
    <w:rsid w:val="00541EB8"/>
    <w:rsid w:val="005424E1"/>
    <w:rsid w:val="00543141"/>
    <w:rsid w:val="00543916"/>
    <w:rsid w:val="00543F2B"/>
    <w:rsid w:val="00545247"/>
    <w:rsid w:val="00545AD2"/>
    <w:rsid w:val="00545E9F"/>
    <w:rsid w:val="00546083"/>
    <w:rsid w:val="00546A28"/>
    <w:rsid w:val="0054768C"/>
    <w:rsid w:val="00551BC5"/>
    <w:rsid w:val="005522A5"/>
    <w:rsid w:val="00552E23"/>
    <w:rsid w:val="00553518"/>
    <w:rsid w:val="005545EE"/>
    <w:rsid w:val="00554B31"/>
    <w:rsid w:val="00554F11"/>
    <w:rsid w:val="00555BB4"/>
    <w:rsid w:val="005563D0"/>
    <w:rsid w:val="00556641"/>
    <w:rsid w:val="00557B91"/>
    <w:rsid w:val="00560EA7"/>
    <w:rsid w:val="005630E6"/>
    <w:rsid w:val="00564D1C"/>
    <w:rsid w:val="005654CC"/>
    <w:rsid w:val="00565911"/>
    <w:rsid w:val="00565DAC"/>
    <w:rsid w:val="00570B89"/>
    <w:rsid w:val="0057165B"/>
    <w:rsid w:val="00571F57"/>
    <w:rsid w:val="00572703"/>
    <w:rsid w:val="00574AE9"/>
    <w:rsid w:val="0057526D"/>
    <w:rsid w:val="005759A8"/>
    <w:rsid w:val="00575F37"/>
    <w:rsid w:val="005765A5"/>
    <w:rsid w:val="00576633"/>
    <w:rsid w:val="00576C86"/>
    <w:rsid w:val="0058018E"/>
    <w:rsid w:val="005808D4"/>
    <w:rsid w:val="005812F4"/>
    <w:rsid w:val="005813DD"/>
    <w:rsid w:val="00581CB8"/>
    <w:rsid w:val="005827A2"/>
    <w:rsid w:val="005833F6"/>
    <w:rsid w:val="005836EA"/>
    <w:rsid w:val="00583777"/>
    <w:rsid w:val="00583CE4"/>
    <w:rsid w:val="00584B08"/>
    <w:rsid w:val="005856F7"/>
    <w:rsid w:val="00587258"/>
    <w:rsid w:val="00587EE1"/>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24CC"/>
    <w:rsid w:val="005A2E5B"/>
    <w:rsid w:val="005A31AB"/>
    <w:rsid w:val="005A3452"/>
    <w:rsid w:val="005A35DB"/>
    <w:rsid w:val="005A4315"/>
    <w:rsid w:val="005A4A09"/>
    <w:rsid w:val="005A4A51"/>
    <w:rsid w:val="005A4A5B"/>
    <w:rsid w:val="005A56E5"/>
    <w:rsid w:val="005A5AAD"/>
    <w:rsid w:val="005A6FBC"/>
    <w:rsid w:val="005A76BF"/>
    <w:rsid w:val="005A7ED4"/>
    <w:rsid w:val="005B010D"/>
    <w:rsid w:val="005B08B3"/>
    <w:rsid w:val="005B153B"/>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499F"/>
    <w:rsid w:val="005D4D80"/>
    <w:rsid w:val="005D65E6"/>
    <w:rsid w:val="005D6E4C"/>
    <w:rsid w:val="005D6F45"/>
    <w:rsid w:val="005D7024"/>
    <w:rsid w:val="005D71F0"/>
    <w:rsid w:val="005D7307"/>
    <w:rsid w:val="005D770D"/>
    <w:rsid w:val="005D775A"/>
    <w:rsid w:val="005D7E59"/>
    <w:rsid w:val="005E0505"/>
    <w:rsid w:val="005E26BD"/>
    <w:rsid w:val="005E321D"/>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C3D"/>
    <w:rsid w:val="005F5E68"/>
    <w:rsid w:val="005F70AC"/>
    <w:rsid w:val="005F7248"/>
    <w:rsid w:val="005F72A2"/>
    <w:rsid w:val="005F78E2"/>
    <w:rsid w:val="005F79C7"/>
    <w:rsid w:val="005F7BAD"/>
    <w:rsid w:val="00601810"/>
    <w:rsid w:val="00601BEF"/>
    <w:rsid w:val="0060218E"/>
    <w:rsid w:val="006021B4"/>
    <w:rsid w:val="00602309"/>
    <w:rsid w:val="00602679"/>
    <w:rsid w:val="00603230"/>
    <w:rsid w:val="006055D0"/>
    <w:rsid w:val="00605D98"/>
    <w:rsid w:val="006064C7"/>
    <w:rsid w:val="006065A0"/>
    <w:rsid w:val="006076BE"/>
    <w:rsid w:val="006104F0"/>
    <w:rsid w:val="006108BA"/>
    <w:rsid w:val="00610A88"/>
    <w:rsid w:val="0061355B"/>
    <w:rsid w:val="006135AF"/>
    <w:rsid w:val="00614414"/>
    <w:rsid w:val="00614442"/>
    <w:rsid w:val="00615017"/>
    <w:rsid w:val="00615660"/>
    <w:rsid w:val="006161E8"/>
    <w:rsid w:val="00617138"/>
    <w:rsid w:val="006207BB"/>
    <w:rsid w:val="00622659"/>
    <w:rsid w:val="00622B35"/>
    <w:rsid w:val="00623820"/>
    <w:rsid w:val="00623A04"/>
    <w:rsid w:val="00624B8F"/>
    <w:rsid w:val="0062569E"/>
    <w:rsid w:val="00625F3A"/>
    <w:rsid w:val="00626519"/>
    <w:rsid w:val="006268CF"/>
    <w:rsid w:val="00627016"/>
    <w:rsid w:val="0063112C"/>
    <w:rsid w:val="00631583"/>
    <w:rsid w:val="006316B1"/>
    <w:rsid w:val="006319B0"/>
    <w:rsid w:val="00631F5E"/>
    <w:rsid w:val="00632020"/>
    <w:rsid w:val="00632035"/>
    <w:rsid w:val="00632EB2"/>
    <w:rsid w:val="00634682"/>
    <w:rsid w:val="0063496D"/>
    <w:rsid w:val="00636054"/>
    <w:rsid w:val="00636608"/>
    <w:rsid w:val="006379DA"/>
    <w:rsid w:val="00637DBA"/>
    <w:rsid w:val="00640749"/>
    <w:rsid w:val="00641952"/>
    <w:rsid w:val="00642D03"/>
    <w:rsid w:val="0064420F"/>
    <w:rsid w:val="0064465A"/>
    <w:rsid w:val="00644C17"/>
    <w:rsid w:val="00644EAE"/>
    <w:rsid w:val="00645082"/>
    <w:rsid w:val="00645558"/>
    <w:rsid w:val="00645BC6"/>
    <w:rsid w:val="0064691A"/>
    <w:rsid w:val="006471F4"/>
    <w:rsid w:val="00647774"/>
    <w:rsid w:val="00647B9B"/>
    <w:rsid w:val="006501A3"/>
    <w:rsid w:val="0065137C"/>
    <w:rsid w:val="00651941"/>
    <w:rsid w:val="00652316"/>
    <w:rsid w:val="00653451"/>
    <w:rsid w:val="00653B61"/>
    <w:rsid w:val="0065412C"/>
    <w:rsid w:val="00654636"/>
    <w:rsid w:val="00654B98"/>
    <w:rsid w:val="00654DFA"/>
    <w:rsid w:val="00655457"/>
    <w:rsid w:val="0065554D"/>
    <w:rsid w:val="006556C3"/>
    <w:rsid w:val="0065674E"/>
    <w:rsid w:val="00657332"/>
    <w:rsid w:val="0065752D"/>
    <w:rsid w:val="006577E1"/>
    <w:rsid w:val="006578CB"/>
    <w:rsid w:val="00657907"/>
    <w:rsid w:val="006607FE"/>
    <w:rsid w:val="00660F52"/>
    <w:rsid w:val="006611CF"/>
    <w:rsid w:val="006613EF"/>
    <w:rsid w:val="00661778"/>
    <w:rsid w:val="00662A79"/>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F37"/>
    <w:rsid w:val="00674278"/>
    <w:rsid w:val="00674FD7"/>
    <w:rsid w:val="006752CF"/>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612D"/>
    <w:rsid w:val="006A61D4"/>
    <w:rsid w:val="006A6ECA"/>
    <w:rsid w:val="006A74A7"/>
    <w:rsid w:val="006A74EE"/>
    <w:rsid w:val="006A76B7"/>
    <w:rsid w:val="006B0357"/>
    <w:rsid w:val="006B2094"/>
    <w:rsid w:val="006B2B86"/>
    <w:rsid w:val="006B3FD7"/>
    <w:rsid w:val="006B40B7"/>
    <w:rsid w:val="006B4B9B"/>
    <w:rsid w:val="006B4EEA"/>
    <w:rsid w:val="006B5AA3"/>
    <w:rsid w:val="006B76B9"/>
    <w:rsid w:val="006B7C48"/>
    <w:rsid w:val="006C0450"/>
    <w:rsid w:val="006C07ED"/>
    <w:rsid w:val="006C1E78"/>
    <w:rsid w:val="006C3BE1"/>
    <w:rsid w:val="006C4439"/>
    <w:rsid w:val="006C6274"/>
    <w:rsid w:val="006C6685"/>
    <w:rsid w:val="006C6B40"/>
    <w:rsid w:val="006C7B30"/>
    <w:rsid w:val="006D1F36"/>
    <w:rsid w:val="006D218E"/>
    <w:rsid w:val="006D23E9"/>
    <w:rsid w:val="006D3A99"/>
    <w:rsid w:val="006D3D20"/>
    <w:rsid w:val="006D41A4"/>
    <w:rsid w:val="006D43FB"/>
    <w:rsid w:val="006D5694"/>
    <w:rsid w:val="006D5770"/>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9E4"/>
    <w:rsid w:val="006F788C"/>
    <w:rsid w:val="007001E1"/>
    <w:rsid w:val="00700BD2"/>
    <w:rsid w:val="007011D6"/>
    <w:rsid w:val="00702266"/>
    <w:rsid w:val="00704083"/>
    <w:rsid w:val="00704201"/>
    <w:rsid w:val="00704944"/>
    <w:rsid w:val="00704CB6"/>
    <w:rsid w:val="007051C1"/>
    <w:rsid w:val="0070578E"/>
    <w:rsid w:val="00705B8E"/>
    <w:rsid w:val="0070673B"/>
    <w:rsid w:val="00706849"/>
    <w:rsid w:val="00707DBE"/>
    <w:rsid w:val="00710096"/>
    <w:rsid w:val="007111DC"/>
    <w:rsid w:val="007118F1"/>
    <w:rsid w:val="00713869"/>
    <w:rsid w:val="007168B2"/>
    <w:rsid w:val="00716AAF"/>
    <w:rsid w:val="00716B43"/>
    <w:rsid w:val="00716F05"/>
    <w:rsid w:val="00717417"/>
    <w:rsid w:val="00717578"/>
    <w:rsid w:val="00720F30"/>
    <w:rsid w:val="007214C7"/>
    <w:rsid w:val="00721A9F"/>
    <w:rsid w:val="00722BC8"/>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502D3"/>
    <w:rsid w:val="007524CB"/>
    <w:rsid w:val="007528F3"/>
    <w:rsid w:val="0075338F"/>
    <w:rsid w:val="007534AD"/>
    <w:rsid w:val="00753716"/>
    <w:rsid w:val="00753CFD"/>
    <w:rsid w:val="0075423F"/>
    <w:rsid w:val="00754AF1"/>
    <w:rsid w:val="0075555B"/>
    <w:rsid w:val="00755704"/>
    <w:rsid w:val="0075588F"/>
    <w:rsid w:val="007563E8"/>
    <w:rsid w:val="0075670D"/>
    <w:rsid w:val="007568CB"/>
    <w:rsid w:val="00756CEE"/>
    <w:rsid w:val="00756DA9"/>
    <w:rsid w:val="00757C07"/>
    <w:rsid w:val="00760693"/>
    <w:rsid w:val="00760CE5"/>
    <w:rsid w:val="007616E4"/>
    <w:rsid w:val="00762489"/>
    <w:rsid w:val="007627CC"/>
    <w:rsid w:val="00763355"/>
    <w:rsid w:val="00763BE8"/>
    <w:rsid w:val="00763E7E"/>
    <w:rsid w:val="00764562"/>
    <w:rsid w:val="007653FB"/>
    <w:rsid w:val="007655D8"/>
    <w:rsid w:val="00765671"/>
    <w:rsid w:val="007657CB"/>
    <w:rsid w:val="00765FCC"/>
    <w:rsid w:val="0076634F"/>
    <w:rsid w:val="00766E7B"/>
    <w:rsid w:val="007672DA"/>
    <w:rsid w:val="007701AF"/>
    <w:rsid w:val="00770554"/>
    <w:rsid w:val="00771521"/>
    <w:rsid w:val="00771669"/>
    <w:rsid w:val="00772558"/>
    <w:rsid w:val="00772C37"/>
    <w:rsid w:val="00772FFE"/>
    <w:rsid w:val="00773F22"/>
    <w:rsid w:val="00774A2B"/>
    <w:rsid w:val="007750FD"/>
    <w:rsid w:val="00775AC7"/>
    <w:rsid w:val="00775EB6"/>
    <w:rsid w:val="007761B8"/>
    <w:rsid w:val="00776D2D"/>
    <w:rsid w:val="00777996"/>
    <w:rsid w:val="00780005"/>
    <w:rsid w:val="007805AD"/>
    <w:rsid w:val="0078107E"/>
    <w:rsid w:val="00781638"/>
    <w:rsid w:val="00781D58"/>
    <w:rsid w:val="0078202A"/>
    <w:rsid w:val="0078234A"/>
    <w:rsid w:val="007825E2"/>
    <w:rsid w:val="00782621"/>
    <w:rsid w:val="007854C1"/>
    <w:rsid w:val="00787331"/>
    <w:rsid w:val="0078754A"/>
    <w:rsid w:val="00787AF4"/>
    <w:rsid w:val="00790282"/>
    <w:rsid w:val="0079094D"/>
    <w:rsid w:val="007912F5"/>
    <w:rsid w:val="00792578"/>
    <w:rsid w:val="0079287B"/>
    <w:rsid w:val="00792E62"/>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EAE"/>
    <w:rsid w:val="007B021E"/>
    <w:rsid w:val="007B1384"/>
    <w:rsid w:val="007B15F1"/>
    <w:rsid w:val="007B36B4"/>
    <w:rsid w:val="007B3FC6"/>
    <w:rsid w:val="007B40F0"/>
    <w:rsid w:val="007B50A5"/>
    <w:rsid w:val="007B58D1"/>
    <w:rsid w:val="007B611B"/>
    <w:rsid w:val="007B67AB"/>
    <w:rsid w:val="007B6949"/>
    <w:rsid w:val="007C038F"/>
    <w:rsid w:val="007C111E"/>
    <w:rsid w:val="007C1816"/>
    <w:rsid w:val="007C1B01"/>
    <w:rsid w:val="007C1C72"/>
    <w:rsid w:val="007C2D0F"/>
    <w:rsid w:val="007C3411"/>
    <w:rsid w:val="007C3709"/>
    <w:rsid w:val="007C3803"/>
    <w:rsid w:val="007C4718"/>
    <w:rsid w:val="007C5A1A"/>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6B75"/>
    <w:rsid w:val="007E7CCB"/>
    <w:rsid w:val="007F20B6"/>
    <w:rsid w:val="007F2964"/>
    <w:rsid w:val="007F3DBA"/>
    <w:rsid w:val="007F4327"/>
    <w:rsid w:val="007F461A"/>
    <w:rsid w:val="007F64FE"/>
    <w:rsid w:val="007F6719"/>
    <w:rsid w:val="007F6E57"/>
    <w:rsid w:val="007F7606"/>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732A"/>
    <w:rsid w:val="008174D1"/>
    <w:rsid w:val="0081769A"/>
    <w:rsid w:val="008176D0"/>
    <w:rsid w:val="0081787B"/>
    <w:rsid w:val="00817AFF"/>
    <w:rsid w:val="00817E9B"/>
    <w:rsid w:val="00820F49"/>
    <w:rsid w:val="0082234C"/>
    <w:rsid w:val="008238C9"/>
    <w:rsid w:val="00824999"/>
    <w:rsid w:val="00824CEE"/>
    <w:rsid w:val="008250C0"/>
    <w:rsid w:val="0082757D"/>
    <w:rsid w:val="008305DA"/>
    <w:rsid w:val="00831C78"/>
    <w:rsid w:val="00832001"/>
    <w:rsid w:val="00832D7B"/>
    <w:rsid w:val="0083368F"/>
    <w:rsid w:val="0083389E"/>
    <w:rsid w:val="00833EEA"/>
    <w:rsid w:val="008346A5"/>
    <w:rsid w:val="00835479"/>
    <w:rsid w:val="008368AD"/>
    <w:rsid w:val="00836C69"/>
    <w:rsid w:val="00837057"/>
    <w:rsid w:val="008371FD"/>
    <w:rsid w:val="00837D2A"/>
    <w:rsid w:val="00841948"/>
    <w:rsid w:val="00841DF5"/>
    <w:rsid w:val="00841F67"/>
    <w:rsid w:val="008425C2"/>
    <w:rsid w:val="00843A15"/>
    <w:rsid w:val="00844301"/>
    <w:rsid w:val="00844709"/>
    <w:rsid w:val="00844CC0"/>
    <w:rsid w:val="008469BF"/>
    <w:rsid w:val="008479EE"/>
    <w:rsid w:val="00847FBA"/>
    <w:rsid w:val="008504E1"/>
    <w:rsid w:val="00850FBF"/>
    <w:rsid w:val="008516FC"/>
    <w:rsid w:val="00852049"/>
    <w:rsid w:val="00852562"/>
    <w:rsid w:val="00852945"/>
    <w:rsid w:val="00853886"/>
    <w:rsid w:val="00853E4A"/>
    <w:rsid w:val="0085417A"/>
    <w:rsid w:val="0085431D"/>
    <w:rsid w:val="00854891"/>
    <w:rsid w:val="00855311"/>
    <w:rsid w:val="00855552"/>
    <w:rsid w:val="0085597C"/>
    <w:rsid w:val="00855D90"/>
    <w:rsid w:val="00855E4E"/>
    <w:rsid w:val="00856391"/>
    <w:rsid w:val="008565A0"/>
    <w:rsid w:val="008565CF"/>
    <w:rsid w:val="00856BBF"/>
    <w:rsid w:val="00860134"/>
    <w:rsid w:val="008601A4"/>
    <w:rsid w:val="0086024F"/>
    <w:rsid w:val="00860549"/>
    <w:rsid w:val="0086187E"/>
    <w:rsid w:val="00861887"/>
    <w:rsid w:val="008619F8"/>
    <w:rsid w:val="00861AA3"/>
    <w:rsid w:val="00861B7B"/>
    <w:rsid w:val="0086210C"/>
    <w:rsid w:val="008624FA"/>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5795"/>
    <w:rsid w:val="00875948"/>
    <w:rsid w:val="00875C22"/>
    <w:rsid w:val="00875EB5"/>
    <w:rsid w:val="00876CD1"/>
    <w:rsid w:val="008774AB"/>
    <w:rsid w:val="00877666"/>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958"/>
    <w:rsid w:val="008A2F51"/>
    <w:rsid w:val="008A30FE"/>
    <w:rsid w:val="008A4B5B"/>
    <w:rsid w:val="008A551C"/>
    <w:rsid w:val="008A5E52"/>
    <w:rsid w:val="008A5EAC"/>
    <w:rsid w:val="008A62F8"/>
    <w:rsid w:val="008A639B"/>
    <w:rsid w:val="008A6FB5"/>
    <w:rsid w:val="008A74B3"/>
    <w:rsid w:val="008A773D"/>
    <w:rsid w:val="008B0C8E"/>
    <w:rsid w:val="008B1D61"/>
    <w:rsid w:val="008B2DCC"/>
    <w:rsid w:val="008B3E6A"/>
    <w:rsid w:val="008B3F28"/>
    <w:rsid w:val="008B42A6"/>
    <w:rsid w:val="008B43B4"/>
    <w:rsid w:val="008B43F9"/>
    <w:rsid w:val="008B53B7"/>
    <w:rsid w:val="008B5CF2"/>
    <w:rsid w:val="008B5F96"/>
    <w:rsid w:val="008B601E"/>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BDE"/>
    <w:rsid w:val="008C7279"/>
    <w:rsid w:val="008C7707"/>
    <w:rsid w:val="008C7D2A"/>
    <w:rsid w:val="008C7F7B"/>
    <w:rsid w:val="008D0302"/>
    <w:rsid w:val="008D0343"/>
    <w:rsid w:val="008D07EA"/>
    <w:rsid w:val="008D0990"/>
    <w:rsid w:val="008D1AE6"/>
    <w:rsid w:val="008D1EA3"/>
    <w:rsid w:val="008D213B"/>
    <w:rsid w:val="008D2239"/>
    <w:rsid w:val="008D230C"/>
    <w:rsid w:val="008D2328"/>
    <w:rsid w:val="008D347F"/>
    <w:rsid w:val="008D4229"/>
    <w:rsid w:val="008D48FF"/>
    <w:rsid w:val="008D4AE0"/>
    <w:rsid w:val="008D5944"/>
    <w:rsid w:val="008D616A"/>
    <w:rsid w:val="008D7987"/>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76C"/>
    <w:rsid w:val="00907BB7"/>
    <w:rsid w:val="0091075F"/>
    <w:rsid w:val="00910BAB"/>
    <w:rsid w:val="00910D8E"/>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95E"/>
    <w:rsid w:val="00920A7C"/>
    <w:rsid w:val="00920B77"/>
    <w:rsid w:val="00920EF7"/>
    <w:rsid w:val="009210BC"/>
    <w:rsid w:val="0092178B"/>
    <w:rsid w:val="00921B1E"/>
    <w:rsid w:val="009223C4"/>
    <w:rsid w:val="00923CD7"/>
    <w:rsid w:val="00923E9E"/>
    <w:rsid w:val="0092511C"/>
    <w:rsid w:val="00925AF2"/>
    <w:rsid w:val="009261F8"/>
    <w:rsid w:val="0092662E"/>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679D"/>
    <w:rsid w:val="009375EC"/>
    <w:rsid w:val="00940A79"/>
    <w:rsid w:val="009410EA"/>
    <w:rsid w:val="009411CD"/>
    <w:rsid w:val="0094122B"/>
    <w:rsid w:val="0094136E"/>
    <w:rsid w:val="00941C05"/>
    <w:rsid w:val="00941CBF"/>
    <w:rsid w:val="00944240"/>
    <w:rsid w:val="0094450E"/>
    <w:rsid w:val="00945840"/>
    <w:rsid w:val="00945AA8"/>
    <w:rsid w:val="00946065"/>
    <w:rsid w:val="00947055"/>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70C70"/>
    <w:rsid w:val="00971066"/>
    <w:rsid w:val="00971206"/>
    <w:rsid w:val="00971A6D"/>
    <w:rsid w:val="00971B8D"/>
    <w:rsid w:val="009729C8"/>
    <w:rsid w:val="009734F5"/>
    <w:rsid w:val="009735EB"/>
    <w:rsid w:val="009741A4"/>
    <w:rsid w:val="0097423E"/>
    <w:rsid w:val="0097438E"/>
    <w:rsid w:val="00974428"/>
    <w:rsid w:val="00974456"/>
    <w:rsid w:val="00974893"/>
    <w:rsid w:val="00975696"/>
    <w:rsid w:val="00976042"/>
    <w:rsid w:val="00977503"/>
    <w:rsid w:val="00977772"/>
    <w:rsid w:val="0098054E"/>
    <w:rsid w:val="009807EB"/>
    <w:rsid w:val="00980A5C"/>
    <w:rsid w:val="00981178"/>
    <w:rsid w:val="00981490"/>
    <w:rsid w:val="009816B4"/>
    <w:rsid w:val="00982717"/>
    <w:rsid w:val="0098299F"/>
    <w:rsid w:val="00983C89"/>
    <w:rsid w:val="009851CA"/>
    <w:rsid w:val="00985718"/>
    <w:rsid w:val="00986263"/>
    <w:rsid w:val="009868B2"/>
    <w:rsid w:val="00986A3E"/>
    <w:rsid w:val="00986C9E"/>
    <w:rsid w:val="0098713B"/>
    <w:rsid w:val="00987C94"/>
    <w:rsid w:val="00990552"/>
    <w:rsid w:val="00990ECC"/>
    <w:rsid w:val="00991883"/>
    <w:rsid w:val="00991FC6"/>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7616"/>
    <w:rsid w:val="009A7A0A"/>
    <w:rsid w:val="009B0822"/>
    <w:rsid w:val="009B1243"/>
    <w:rsid w:val="009B1844"/>
    <w:rsid w:val="009B2914"/>
    <w:rsid w:val="009B29E4"/>
    <w:rsid w:val="009B3559"/>
    <w:rsid w:val="009B375B"/>
    <w:rsid w:val="009B3EA9"/>
    <w:rsid w:val="009B4695"/>
    <w:rsid w:val="009B68C1"/>
    <w:rsid w:val="009B68CA"/>
    <w:rsid w:val="009B7A57"/>
    <w:rsid w:val="009C0775"/>
    <w:rsid w:val="009C0DB1"/>
    <w:rsid w:val="009C1791"/>
    <w:rsid w:val="009C17DF"/>
    <w:rsid w:val="009C2412"/>
    <w:rsid w:val="009C2DF6"/>
    <w:rsid w:val="009C3339"/>
    <w:rsid w:val="009C33D0"/>
    <w:rsid w:val="009C3BD1"/>
    <w:rsid w:val="009C3C19"/>
    <w:rsid w:val="009C4AB0"/>
    <w:rsid w:val="009C4AF3"/>
    <w:rsid w:val="009C5A2E"/>
    <w:rsid w:val="009C6079"/>
    <w:rsid w:val="009C63A3"/>
    <w:rsid w:val="009C687A"/>
    <w:rsid w:val="009C6AD0"/>
    <w:rsid w:val="009C7479"/>
    <w:rsid w:val="009C7D90"/>
    <w:rsid w:val="009D0271"/>
    <w:rsid w:val="009D1744"/>
    <w:rsid w:val="009D222B"/>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E1A11"/>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5340"/>
    <w:rsid w:val="009F595E"/>
    <w:rsid w:val="009F5DC6"/>
    <w:rsid w:val="009F62C2"/>
    <w:rsid w:val="009F6C58"/>
    <w:rsid w:val="009F6E6D"/>
    <w:rsid w:val="009F7E8F"/>
    <w:rsid w:val="00A00E71"/>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71DE"/>
    <w:rsid w:val="00A2268B"/>
    <w:rsid w:val="00A239FA"/>
    <w:rsid w:val="00A23D77"/>
    <w:rsid w:val="00A244ED"/>
    <w:rsid w:val="00A24A3C"/>
    <w:rsid w:val="00A257F4"/>
    <w:rsid w:val="00A25D1F"/>
    <w:rsid w:val="00A25DC0"/>
    <w:rsid w:val="00A25F50"/>
    <w:rsid w:val="00A26328"/>
    <w:rsid w:val="00A264AF"/>
    <w:rsid w:val="00A2706C"/>
    <w:rsid w:val="00A27338"/>
    <w:rsid w:val="00A2744F"/>
    <w:rsid w:val="00A27608"/>
    <w:rsid w:val="00A306E1"/>
    <w:rsid w:val="00A30926"/>
    <w:rsid w:val="00A30DCB"/>
    <w:rsid w:val="00A31342"/>
    <w:rsid w:val="00A3302B"/>
    <w:rsid w:val="00A33824"/>
    <w:rsid w:val="00A34629"/>
    <w:rsid w:val="00A346F9"/>
    <w:rsid w:val="00A355F0"/>
    <w:rsid w:val="00A3710F"/>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7A09"/>
    <w:rsid w:val="00A57F2F"/>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C36"/>
    <w:rsid w:val="00A80F9B"/>
    <w:rsid w:val="00A8116A"/>
    <w:rsid w:val="00A821AD"/>
    <w:rsid w:val="00A82516"/>
    <w:rsid w:val="00A8285A"/>
    <w:rsid w:val="00A83450"/>
    <w:rsid w:val="00A83591"/>
    <w:rsid w:val="00A83AC7"/>
    <w:rsid w:val="00A83D00"/>
    <w:rsid w:val="00A84D50"/>
    <w:rsid w:val="00A856F7"/>
    <w:rsid w:val="00A86AD0"/>
    <w:rsid w:val="00A86CAF"/>
    <w:rsid w:val="00A87059"/>
    <w:rsid w:val="00A876B9"/>
    <w:rsid w:val="00A87E4B"/>
    <w:rsid w:val="00A87E96"/>
    <w:rsid w:val="00A90C13"/>
    <w:rsid w:val="00A919EC"/>
    <w:rsid w:val="00A91BC1"/>
    <w:rsid w:val="00A92470"/>
    <w:rsid w:val="00A9291B"/>
    <w:rsid w:val="00A93013"/>
    <w:rsid w:val="00A9379F"/>
    <w:rsid w:val="00A946CB"/>
    <w:rsid w:val="00A94893"/>
    <w:rsid w:val="00A94FCF"/>
    <w:rsid w:val="00A967DF"/>
    <w:rsid w:val="00A96A0A"/>
    <w:rsid w:val="00A96AE9"/>
    <w:rsid w:val="00A97258"/>
    <w:rsid w:val="00A97EF1"/>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E72"/>
    <w:rsid w:val="00AC66D3"/>
    <w:rsid w:val="00AC7959"/>
    <w:rsid w:val="00AC7C7A"/>
    <w:rsid w:val="00AD03F1"/>
    <w:rsid w:val="00AD05A9"/>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45E7"/>
    <w:rsid w:val="00AE47F3"/>
    <w:rsid w:val="00AE5816"/>
    <w:rsid w:val="00AE607C"/>
    <w:rsid w:val="00AE63A9"/>
    <w:rsid w:val="00AE63B8"/>
    <w:rsid w:val="00AE66C8"/>
    <w:rsid w:val="00AE76FC"/>
    <w:rsid w:val="00AF0006"/>
    <w:rsid w:val="00AF0144"/>
    <w:rsid w:val="00AF15AB"/>
    <w:rsid w:val="00AF1755"/>
    <w:rsid w:val="00AF2B5B"/>
    <w:rsid w:val="00AF346A"/>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10B1C"/>
    <w:rsid w:val="00B11969"/>
    <w:rsid w:val="00B12537"/>
    <w:rsid w:val="00B12BC9"/>
    <w:rsid w:val="00B136B4"/>
    <w:rsid w:val="00B13E09"/>
    <w:rsid w:val="00B140F8"/>
    <w:rsid w:val="00B14CA5"/>
    <w:rsid w:val="00B1510B"/>
    <w:rsid w:val="00B16731"/>
    <w:rsid w:val="00B16926"/>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6155"/>
    <w:rsid w:val="00B36461"/>
    <w:rsid w:val="00B37B9B"/>
    <w:rsid w:val="00B404F2"/>
    <w:rsid w:val="00B41824"/>
    <w:rsid w:val="00B424CC"/>
    <w:rsid w:val="00B44427"/>
    <w:rsid w:val="00B455D8"/>
    <w:rsid w:val="00B46A44"/>
    <w:rsid w:val="00B46DFB"/>
    <w:rsid w:val="00B47E83"/>
    <w:rsid w:val="00B50257"/>
    <w:rsid w:val="00B5032F"/>
    <w:rsid w:val="00B515CB"/>
    <w:rsid w:val="00B51A4C"/>
    <w:rsid w:val="00B526D6"/>
    <w:rsid w:val="00B52E66"/>
    <w:rsid w:val="00B533F9"/>
    <w:rsid w:val="00B53D80"/>
    <w:rsid w:val="00B54417"/>
    <w:rsid w:val="00B548EE"/>
    <w:rsid w:val="00B5566D"/>
    <w:rsid w:val="00B56625"/>
    <w:rsid w:val="00B56963"/>
    <w:rsid w:val="00B57165"/>
    <w:rsid w:val="00B572CF"/>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619A"/>
    <w:rsid w:val="00B6621B"/>
    <w:rsid w:val="00B669E1"/>
    <w:rsid w:val="00B66BE9"/>
    <w:rsid w:val="00B70012"/>
    <w:rsid w:val="00B70364"/>
    <w:rsid w:val="00B70572"/>
    <w:rsid w:val="00B70BDF"/>
    <w:rsid w:val="00B7179C"/>
    <w:rsid w:val="00B71E0D"/>
    <w:rsid w:val="00B72302"/>
    <w:rsid w:val="00B726C9"/>
    <w:rsid w:val="00B7456A"/>
    <w:rsid w:val="00B748B0"/>
    <w:rsid w:val="00B753CD"/>
    <w:rsid w:val="00B75628"/>
    <w:rsid w:val="00B7593F"/>
    <w:rsid w:val="00B75D95"/>
    <w:rsid w:val="00B75FA6"/>
    <w:rsid w:val="00B76BB8"/>
    <w:rsid w:val="00B773BE"/>
    <w:rsid w:val="00B7750C"/>
    <w:rsid w:val="00B81604"/>
    <w:rsid w:val="00B8185F"/>
    <w:rsid w:val="00B83676"/>
    <w:rsid w:val="00B8436A"/>
    <w:rsid w:val="00B846D0"/>
    <w:rsid w:val="00B84F4D"/>
    <w:rsid w:val="00B8563A"/>
    <w:rsid w:val="00B86038"/>
    <w:rsid w:val="00B8620D"/>
    <w:rsid w:val="00B86CDC"/>
    <w:rsid w:val="00B87B28"/>
    <w:rsid w:val="00B905FE"/>
    <w:rsid w:val="00B90B9B"/>
    <w:rsid w:val="00B90D85"/>
    <w:rsid w:val="00B917BC"/>
    <w:rsid w:val="00B91A3B"/>
    <w:rsid w:val="00B92124"/>
    <w:rsid w:val="00B9219C"/>
    <w:rsid w:val="00B9220A"/>
    <w:rsid w:val="00B92F09"/>
    <w:rsid w:val="00B93510"/>
    <w:rsid w:val="00B94842"/>
    <w:rsid w:val="00B94B5B"/>
    <w:rsid w:val="00B95056"/>
    <w:rsid w:val="00B9678C"/>
    <w:rsid w:val="00B973AD"/>
    <w:rsid w:val="00BA01E9"/>
    <w:rsid w:val="00BA0A2B"/>
    <w:rsid w:val="00BA0CF1"/>
    <w:rsid w:val="00BA215C"/>
    <w:rsid w:val="00BA23F0"/>
    <w:rsid w:val="00BA29E5"/>
    <w:rsid w:val="00BA3B5D"/>
    <w:rsid w:val="00BA3D4C"/>
    <w:rsid w:val="00BA3E5F"/>
    <w:rsid w:val="00BA44BE"/>
    <w:rsid w:val="00BA5240"/>
    <w:rsid w:val="00BA7603"/>
    <w:rsid w:val="00BB0BA9"/>
    <w:rsid w:val="00BB1980"/>
    <w:rsid w:val="00BB1B00"/>
    <w:rsid w:val="00BB275E"/>
    <w:rsid w:val="00BB27C1"/>
    <w:rsid w:val="00BB3CDB"/>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634"/>
    <w:rsid w:val="00BE3AEE"/>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3C67"/>
    <w:rsid w:val="00C03FF6"/>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5AE"/>
    <w:rsid w:val="00C20AE8"/>
    <w:rsid w:val="00C210D9"/>
    <w:rsid w:val="00C219D1"/>
    <w:rsid w:val="00C21DB5"/>
    <w:rsid w:val="00C22B98"/>
    <w:rsid w:val="00C23392"/>
    <w:rsid w:val="00C2378E"/>
    <w:rsid w:val="00C23E5D"/>
    <w:rsid w:val="00C242CA"/>
    <w:rsid w:val="00C242EB"/>
    <w:rsid w:val="00C25377"/>
    <w:rsid w:val="00C26559"/>
    <w:rsid w:val="00C268A5"/>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3DB"/>
    <w:rsid w:val="00C46521"/>
    <w:rsid w:val="00C47843"/>
    <w:rsid w:val="00C507F9"/>
    <w:rsid w:val="00C50AEE"/>
    <w:rsid w:val="00C50DEE"/>
    <w:rsid w:val="00C52DAF"/>
    <w:rsid w:val="00C52E3B"/>
    <w:rsid w:val="00C532C3"/>
    <w:rsid w:val="00C53687"/>
    <w:rsid w:val="00C54BFA"/>
    <w:rsid w:val="00C5626B"/>
    <w:rsid w:val="00C56AF9"/>
    <w:rsid w:val="00C56C02"/>
    <w:rsid w:val="00C56CA3"/>
    <w:rsid w:val="00C56DB4"/>
    <w:rsid w:val="00C56DFB"/>
    <w:rsid w:val="00C575F7"/>
    <w:rsid w:val="00C57914"/>
    <w:rsid w:val="00C600DD"/>
    <w:rsid w:val="00C60C57"/>
    <w:rsid w:val="00C612B0"/>
    <w:rsid w:val="00C612CD"/>
    <w:rsid w:val="00C62864"/>
    <w:rsid w:val="00C62A5F"/>
    <w:rsid w:val="00C646BD"/>
    <w:rsid w:val="00C647E1"/>
    <w:rsid w:val="00C65007"/>
    <w:rsid w:val="00C652BE"/>
    <w:rsid w:val="00C65E38"/>
    <w:rsid w:val="00C666D4"/>
    <w:rsid w:val="00C67A4D"/>
    <w:rsid w:val="00C70254"/>
    <w:rsid w:val="00C702D3"/>
    <w:rsid w:val="00C7039B"/>
    <w:rsid w:val="00C704DD"/>
    <w:rsid w:val="00C70550"/>
    <w:rsid w:val="00C71201"/>
    <w:rsid w:val="00C72910"/>
    <w:rsid w:val="00C72A16"/>
    <w:rsid w:val="00C7385D"/>
    <w:rsid w:val="00C7394B"/>
    <w:rsid w:val="00C73F08"/>
    <w:rsid w:val="00C745DE"/>
    <w:rsid w:val="00C75423"/>
    <w:rsid w:val="00C7582D"/>
    <w:rsid w:val="00C75B3F"/>
    <w:rsid w:val="00C76E22"/>
    <w:rsid w:val="00C77693"/>
    <w:rsid w:val="00C77A8C"/>
    <w:rsid w:val="00C77AAD"/>
    <w:rsid w:val="00C80A05"/>
    <w:rsid w:val="00C82E6A"/>
    <w:rsid w:val="00C83FC4"/>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7A6"/>
    <w:rsid w:val="00C96C34"/>
    <w:rsid w:val="00C96C48"/>
    <w:rsid w:val="00CA03BF"/>
    <w:rsid w:val="00CA03C8"/>
    <w:rsid w:val="00CA10D9"/>
    <w:rsid w:val="00CA1458"/>
    <w:rsid w:val="00CA35BB"/>
    <w:rsid w:val="00CA3C2B"/>
    <w:rsid w:val="00CA41D6"/>
    <w:rsid w:val="00CA4448"/>
    <w:rsid w:val="00CA4894"/>
    <w:rsid w:val="00CA4DBE"/>
    <w:rsid w:val="00CA5486"/>
    <w:rsid w:val="00CA5597"/>
    <w:rsid w:val="00CA6565"/>
    <w:rsid w:val="00CA67D4"/>
    <w:rsid w:val="00CA7F3E"/>
    <w:rsid w:val="00CB14F6"/>
    <w:rsid w:val="00CB15FC"/>
    <w:rsid w:val="00CB1AD2"/>
    <w:rsid w:val="00CB1DE4"/>
    <w:rsid w:val="00CB23BF"/>
    <w:rsid w:val="00CB249A"/>
    <w:rsid w:val="00CB2C74"/>
    <w:rsid w:val="00CB311A"/>
    <w:rsid w:val="00CB3AD2"/>
    <w:rsid w:val="00CB4326"/>
    <w:rsid w:val="00CB614D"/>
    <w:rsid w:val="00CB6CA8"/>
    <w:rsid w:val="00CC1182"/>
    <w:rsid w:val="00CC1CED"/>
    <w:rsid w:val="00CC2344"/>
    <w:rsid w:val="00CC2433"/>
    <w:rsid w:val="00CC243B"/>
    <w:rsid w:val="00CC323F"/>
    <w:rsid w:val="00CC3EEB"/>
    <w:rsid w:val="00CC4773"/>
    <w:rsid w:val="00CC4AC0"/>
    <w:rsid w:val="00CC5D02"/>
    <w:rsid w:val="00CC5EA3"/>
    <w:rsid w:val="00CC6AB4"/>
    <w:rsid w:val="00CD06FB"/>
    <w:rsid w:val="00CD0CA1"/>
    <w:rsid w:val="00CD1766"/>
    <w:rsid w:val="00CD231B"/>
    <w:rsid w:val="00CD2B48"/>
    <w:rsid w:val="00CD3B57"/>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B4"/>
    <w:rsid w:val="00CF4E6D"/>
    <w:rsid w:val="00CF5FEB"/>
    <w:rsid w:val="00CF6BDE"/>
    <w:rsid w:val="00CF76EE"/>
    <w:rsid w:val="00D00E10"/>
    <w:rsid w:val="00D016F5"/>
    <w:rsid w:val="00D01DEA"/>
    <w:rsid w:val="00D0239A"/>
    <w:rsid w:val="00D025AC"/>
    <w:rsid w:val="00D026FC"/>
    <w:rsid w:val="00D03C15"/>
    <w:rsid w:val="00D03F94"/>
    <w:rsid w:val="00D06468"/>
    <w:rsid w:val="00D06513"/>
    <w:rsid w:val="00D06CD6"/>
    <w:rsid w:val="00D10A46"/>
    <w:rsid w:val="00D1140E"/>
    <w:rsid w:val="00D126EC"/>
    <w:rsid w:val="00D13371"/>
    <w:rsid w:val="00D13FBA"/>
    <w:rsid w:val="00D14190"/>
    <w:rsid w:val="00D153E0"/>
    <w:rsid w:val="00D15538"/>
    <w:rsid w:val="00D1568A"/>
    <w:rsid w:val="00D16B34"/>
    <w:rsid w:val="00D1724B"/>
    <w:rsid w:val="00D175F6"/>
    <w:rsid w:val="00D17747"/>
    <w:rsid w:val="00D20D65"/>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1786"/>
    <w:rsid w:val="00D639E4"/>
    <w:rsid w:val="00D63B44"/>
    <w:rsid w:val="00D63D2A"/>
    <w:rsid w:val="00D63E67"/>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8F4"/>
    <w:rsid w:val="00D82EA2"/>
    <w:rsid w:val="00D83478"/>
    <w:rsid w:val="00D842D4"/>
    <w:rsid w:val="00D84323"/>
    <w:rsid w:val="00D8503F"/>
    <w:rsid w:val="00D85547"/>
    <w:rsid w:val="00D85CD6"/>
    <w:rsid w:val="00D8631F"/>
    <w:rsid w:val="00D86495"/>
    <w:rsid w:val="00D87726"/>
    <w:rsid w:val="00D914C8"/>
    <w:rsid w:val="00D91FE3"/>
    <w:rsid w:val="00D962F0"/>
    <w:rsid w:val="00D96F9A"/>
    <w:rsid w:val="00D97731"/>
    <w:rsid w:val="00DA0372"/>
    <w:rsid w:val="00DA147A"/>
    <w:rsid w:val="00DA27A6"/>
    <w:rsid w:val="00DA4495"/>
    <w:rsid w:val="00DA4880"/>
    <w:rsid w:val="00DA4D9C"/>
    <w:rsid w:val="00DA584A"/>
    <w:rsid w:val="00DA5867"/>
    <w:rsid w:val="00DA6416"/>
    <w:rsid w:val="00DA6C43"/>
    <w:rsid w:val="00DA7C3B"/>
    <w:rsid w:val="00DB004E"/>
    <w:rsid w:val="00DB0295"/>
    <w:rsid w:val="00DB1159"/>
    <w:rsid w:val="00DB15B8"/>
    <w:rsid w:val="00DB25F9"/>
    <w:rsid w:val="00DB2638"/>
    <w:rsid w:val="00DB3BA7"/>
    <w:rsid w:val="00DB3E96"/>
    <w:rsid w:val="00DB408D"/>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D47"/>
    <w:rsid w:val="00DC31D0"/>
    <w:rsid w:val="00DC3625"/>
    <w:rsid w:val="00DC41DD"/>
    <w:rsid w:val="00DC4385"/>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B04"/>
    <w:rsid w:val="00DD41F8"/>
    <w:rsid w:val="00DD4AC7"/>
    <w:rsid w:val="00DD58E5"/>
    <w:rsid w:val="00DD59BD"/>
    <w:rsid w:val="00DD5E30"/>
    <w:rsid w:val="00DD5FE9"/>
    <w:rsid w:val="00DE0A9A"/>
    <w:rsid w:val="00DE146F"/>
    <w:rsid w:val="00DE1566"/>
    <w:rsid w:val="00DE2401"/>
    <w:rsid w:val="00DE3534"/>
    <w:rsid w:val="00DE3E35"/>
    <w:rsid w:val="00DE4675"/>
    <w:rsid w:val="00DE47CD"/>
    <w:rsid w:val="00DE4A6A"/>
    <w:rsid w:val="00DE4D83"/>
    <w:rsid w:val="00DE4EB4"/>
    <w:rsid w:val="00DE56DE"/>
    <w:rsid w:val="00DE59E5"/>
    <w:rsid w:val="00DE656E"/>
    <w:rsid w:val="00DE6BE9"/>
    <w:rsid w:val="00DE6D17"/>
    <w:rsid w:val="00DE76FC"/>
    <w:rsid w:val="00DE7ADD"/>
    <w:rsid w:val="00DE7E6B"/>
    <w:rsid w:val="00DF0633"/>
    <w:rsid w:val="00DF0E52"/>
    <w:rsid w:val="00DF1F95"/>
    <w:rsid w:val="00DF23C5"/>
    <w:rsid w:val="00DF2807"/>
    <w:rsid w:val="00DF2859"/>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910"/>
    <w:rsid w:val="00E00DF4"/>
    <w:rsid w:val="00E012C6"/>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4279"/>
    <w:rsid w:val="00E15708"/>
    <w:rsid w:val="00E161E2"/>
    <w:rsid w:val="00E1768F"/>
    <w:rsid w:val="00E20CCD"/>
    <w:rsid w:val="00E21877"/>
    <w:rsid w:val="00E23048"/>
    <w:rsid w:val="00E23CCC"/>
    <w:rsid w:val="00E245D1"/>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757D"/>
    <w:rsid w:val="00E47FEC"/>
    <w:rsid w:val="00E50A92"/>
    <w:rsid w:val="00E50C7D"/>
    <w:rsid w:val="00E50DA5"/>
    <w:rsid w:val="00E510D3"/>
    <w:rsid w:val="00E52324"/>
    <w:rsid w:val="00E526BF"/>
    <w:rsid w:val="00E527F6"/>
    <w:rsid w:val="00E52A47"/>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437A"/>
    <w:rsid w:val="00E648B5"/>
    <w:rsid w:val="00E65B34"/>
    <w:rsid w:val="00E667D0"/>
    <w:rsid w:val="00E668C3"/>
    <w:rsid w:val="00E67106"/>
    <w:rsid w:val="00E6739C"/>
    <w:rsid w:val="00E70778"/>
    <w:rsid w:val="00E70B54"/>
    <w:rsid w:val="00E718BC"/>
    <w:rsid w:val="00E71990"/>
    <w:rsid w:val="00E71C72"/>
    <w:rsid w:val="00E72221"/>
    <w:rsid w:val="00E722BE"/>
    <w:rsid w:val="00E7231A"/>
    <w:rsid w:val="00E723A9"/>
    <w:rsid w:val="00E72769"/>
    <w:rsid w:val="00E73E28"/>
    <w:rsid w:val="00E74223"/>
    <w:rsid w:val="00E74D3D"/>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6D2B"/>
    <w:rsid w:val="00E876D4"/>
    <w:rsid w:val="00E87E1E"/>
    <w:rsid w:val="00E9026A"/>
    <w:rsid w:val="00E90442"/>
    <w:rsid w:val="00E9061D"/>
    <w:rsid w:val="00E90D62"/>
    <w:rsid w:val="00E90EB5"/>
    <w:rsid w:val="00E910E4"/>
    <w:rsid w:val="00E91B27"/>
    <w:rsid w:val="00E91F86"/>
    <w:rsid w:val="00E9228B"/>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6AA5"/>
    <w:rsid w:val="00EA7315"/>
    <w:rsid w:val="00EA7FA8"/>
    <w:rsid w:val="00EB0E7E"/>
    <w:rsid w:val="00EB2021"/>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7D4D"/>
    <w:rsid w:val="00EE7F93"/>
    <w:rsid w:val="00EF0084"/>
    <w:rsid w:val="00EF101A"/>
    <w:rsid w:val="00EF14FA"/>
    <w:rsid w:val="00EF1EF5"/>
    <w:rsid w:val="00EF2410"/>
    <w:rsid w:val="00EF3499"/>
    <w:rsid w:val="00EF47A8"/>
    <w:rsid w:val="00EF5F41"/>
    <w:rsid w:val="00EF6CC8"/>
    <w:rsid w:val="00EF78B2"/>
    <w:rsid w:val="00EF7E2B"/>
    <w:rsid w:val="00F00367"/>
    <w:rsid w:val="00F006CE"/>
    <w:rsid w:val="00F00DD2"/>
    <w:rsid w:val="00F01693"/>
    <w:rsid w:val="00F02841"/>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6F0"/>
    <w:rsid w:val="00F137F1"/>
    <w:rsid w:val="00F140B4"/>
    <w:rsid w:val="00F14607"/>
    <w:rsid w:val="00F14774"/>
    <w:rsid w:val="00F15777"/>
    <w:rsid w:val="00F1743F"/>
    <w:rsid w:val="00F176F9"/>
    <w:rsid w:val="00F17B25"/>
    <w:rsid w:val="00F17B57"/>
    <w:rsid w:val="00F203B7"/>
    <w:rsid w:val="00F209D1"/>
    <w:rsid w:val="00F21352"/>
    <w:rsid w:val="00F21A81"/>
    <w:rsid w:val="00F22DC7"/>
    <w:rsid w:val="00F22E10"/>
    <w:rsid w:val="00F230FB"/>
    <w:rsid w:val="00F240DA"/>
    <w:rsid w:val="00F24218"/>
    <w:rsid w:val="00F24D46"/>
    <w:rsid w:val="00F25150"/>
    <w:rsid w:val="00F261FE"/>
    <w:rsid w:val="00F265B5"/>
    <w:rsid w:val="00F2663B"/>
    <w:rsid w:val="00F266AB"/>
    <w:rsid w:val="00F268F0"/>
    <w:rsid w:val="00F26ABA"/>
    <w:rsid w:val="00F2783E"/>
    <w:rsid w:val="00F27B7E"/>
    <w:rsid w:val="00F30292"/>
    <w:rsid w:val="00F3061B"/>
    <w:rsid w:val="00F316A9"/>
    <w:rsid w:val="00F31BCE"/>
    <w:rsid w:val="00F32187"/>
    <w:rsid w:val="00F3341E"/>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2030"/>
    <w:rsid w:val="00F4233A"/>
    <w:rsid w:val="00F42A7B"/>
    <w:rsid w:val="00F433E2"/>
    <w:rsid w:val="00F43518"/>
    <w:rsid w:val="00F435C2"/>
    <w:rsid w:val="00F4455A"/>
    <w:rsid w:val="00F44789"/>
    <w:rsid w:val="00F45049"/>
    <w:rsid w:val="00F45BFB"/>
    <w:rsid w:val="00F466D9"/>
    <w:rsid w:val="00F46E31"/>
    <w:rsid w:val="00F46EB6"/>
    <w:rsid w:val="00F477F5"/>
    <w:rsid w:val="00F47A0B"/>
    <w:rsid w:val="00F505D8"/>
    <w:rsid w:val="00F50BE2"/>
    <w:rsid w:val="00F50CC5"/>
    <w:rsid w:val="00F524B3"/>
    <w:rsid w:val="00F52B5A"/>
    <w:rsid w:val="00F53383"/>
    <w:rsid w:val="00F534CF"/>
    <w:rsid w:val="00F54504"/>
    <w:rsid w:val="00F54A9F"/>
    <w:rsid w:val="00F55B13"/>
    <w:rsid w:val="00F55FCE"/>
    <w:rsid w:val="00F56341"/>
    <w:rsid w:val="00F56740"/>
    <w:rsid w:val="00F56F37"/>
    <w:rsid w:val="00F60056"/>
    <w:rsid w:val="00F6032B"/>
    <w:rsid w:val="00F60D5F"/>
    <w:rsid w:val="00F611CA"/>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F8F"/>
    <w:rsid w:val="00F750DC"/>
    <w:rsid w:val="00F75AB9"/>
    <w:rsid w:val="00F769C6"/>
    <w:rsid w:val="00F771AA"/>
    <w:rsid w:val="00F77C52"/>
    <w:rsid w:val="00F8025C"/>
    <w:rsid w:val="00F80C4F"/>
    <w:rsid w:val="00F81D86"/>
    <w:rsid w:val="00F827DD"/>
    <w:rsid w:val="00F82F6D"/>
    <w:rsid w:val="00F83370"/>
    <w:rsid w:val="00F83E52"/>
    <w:rsid w:val="00F83EC7"/>
    <w:rsid w:val="00F84048"/>
    <w:rsid w:val="00F844FB"/>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D1"/>
    <w:rsid w:val="00F95706"/>
    <w:rsid w:val="00F95996"/>
    <w:rsid w:val="00F9638A"/>
    <w:rsid w:val="00F97B80"/>
    <w:rsid w:val="00F97D6D"/>
    <w:rsid w:val="00FA09FF"/>
    <w:rsid w:val="00FA0AB0"/>
    <w:rsid w:val="00FA0B18"/>
    <w:rsid w:val="00FA0E76"/>
    <w:rsid w:val="00FA1DED"/>
    <w:rsid w:val="00FA1EA7"/>
    <w:rsid w:val="00FA26AF"/>
    <w:rsid w:val="00FA28FC"/>
    <w:rsid w:val="00FA2B50"/>
    <w:rsid w:val="00FA338E"/>
    <w:rsid w:val="00FA37BB"/>
    <w:rsid w:val="00FA3863"/>
    <w:rsid w:val="00FA3CEF"/>
    <w:rsid w:val="00FA3D14"/>
    <w:rsid w:val="00FA4322"/>
    <w:rsid w:val="00FA4B4D"/>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332B"/>
    <w:rsid w:val="00FE39E7"/>
    <w:rsid w:val="00FE3ECC"/>
    <w:rsid w:val="00FE4C1C"/>
    <w:rsid w:val="00FE567F"/>
    <w:rsid w:val="00FE591A"/>
    <w:rsid w:val="00FE6058"/>
    <w:rsid w:val="00FE6A7B"/>
    <w:rsid w:val="00FE70C2"/>
    <w:rsid w:val="00FE71DC"/>
    <w:rsid w:val="00FF0ABC"/>
    <w:rsid w:val="00FF0B63"/>
    <w:rsid w:val="00FF3946"/>
    <w:rsid w:val="00FF44A7"/>
    <w:rsid w:val="00FF4725"/>
    <w:rsid w:val="00FF4E1F"/>
    <w:rsid w:val="00FF4EF6"/>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semiHidden/>
    <w:unhideWhenUsed/>
    <w:rsid w:val="00CB311A"/>
    <w:rPr>
      <w:sz w:val="20"/>
      <w:szCs w:val="20"/>
    </w:rPr>
  </w:style>
  <w:style w:type="character" w:customStyle="1" w:styleId="CommentTextChar">
    <w:name w:val="Comment Text Char"/>
    <w:basedOn w:val="DefaultParagraphFont"/>
    <w:link w:val="CommentText"/>
    <w:uiPriority w:val="99"/>
    <w:semiHidden/>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t.deloitte.com/USDART/home/publications/deloitte/heads-up/2021/fasb-asu-contract-assets-liabilities-revenue" TargetMode="External"/><Relationship Id="rId18" Type="http://schemas.openxmlformats.org/officeDocument/2006/relationships/hyperlink" Target="https://www.fasb.org/cs/ContentServer?c=Document_C&amp;cid=1176178770358&amp;d=&amp;pagename=FASB%2FDocument_C%2FDocumentPage" TargetMode="External"/><Relationship Id="rId26" Type="http://schemas.openxmlformats.org/officeDocument/2006/relationships/hyperlink" Target="https://dart.deloitte.com/USDART/home/codification/broad-transactions/asc805-20-65" TargetMode="External"/><Relationship Id="rId39" Type="http://schemas.openxmlformats.org/officeDocument/2006/relationships/header" Target="header2.xml"/><Relationship Id="rId21" Type="http://schemas.openxmlformats.org/officeDocument/2006/relationships/hyperlink" Target="https://dart.deloitte.com/USDART/home/codification/expenses/71x/asc718-10-65" TargetMode="External"/><Relationship Id="rId34" Type="http://schemas.openxmlformats.org/officeDocument/2006/relationships/hyperlink" Target="https://dart.deloitte.com/USDART/home/codification/broad-transactions/asc832-10-0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sb.org/cs/ContentServer?c=Document_C&amp;cid=1176178928778&amp;d=&amp;pagename=FASB%2FDocument_C%2FDocumentPage" TargetMode="External"/><Relationship Id="rId29" Type="http://schemas.openxmlformats.org/officeDocument/2006/relationships/hyperlink" Target="https://dart.deloitte.com/USDART/home/codification/broad-transactions/asc842-2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t.deloitte.com/USDART/home/publications/deloitte/heads-up/2021/fasb-equity-classified-share-based-payment" TargetMode="External"/><Relationship Id="rId24" Type="http://schemas.openxmlformats.org/officeDocument/2006/relationships/hyperlink" Target="https://dart.deloitte.com/USDART/home/codification/broad-transactions/asc805-20-30" TargetMode="External"/><Relationship Id="rId32" Type="http://schemas.openxmlformats.org/officeDocument/2006/relationships/hyperlink" Target="https://www.fasb.org/cs/ContentServer?c=Document_C&amp;cid=1176178928778&amp;d=&amp;pagename=FASB%2FDocument_C%2FDocumentPage" TargetMode="External"/><Relationship Id="rId37" Type="http://schemas.openxmlformats.org/officeDocument/2006/relationships/hyperlink" Target="http://www.deloitte.com/abou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rt.deloitte.com/USDART/home/publications/deloitte/heads-up/2021/fasb-asu-lessees" TargetMode="External"/><Relationship Id="rId23" Type="http://schemas.openxmlformats.org/officeDocument/2006/relationships/hyperlink" Target="https://dart.deloitte.com/USDART/home/codification/broad-transactions/asc805-20-25" TargetMode="External"/><Relationship Id="rId28" Type="http://schemas.openxmlformats.org/officeDocument/2006/relationships/hyperlink" Target="https://dart.deloitte.com/USDART/home/codification/broad-transactions/asc842-20-30" TargetMode="External"/><Relationship Id="rId36" Type="http://schemas.openxmlformats.org/officeDocument/2006/relationships/hyperlink" Target="https://dart.deloitte.com/USDART/home/codification/broad-transactions/asc832-10-65" TargetMode="External"/><Relationship Id="rId10" Type="http://schemas.openxmlformats.org/officeDocument/2006/relationships/hyperlink" Target="https://checklist.disclosureanalytics.deloitte.com/helpDocs/quickrefguide" TargetMode="External"/><Relationship Id="rId19" Type="http://schemas.openxmlformats.org/officeDocument/2006/relationships/hyperlink" Target="https://dart.deloitte.com/USDART/home/codification/expenses/71x/asc718-10-30" TargetMode="External"/><Relationship Id="rId31" Type="http://schemas.openxmlformats.org/officeDocument/2006/relationships/hyperlink" Target="https://dart.deloitte.com/USDART/home/codification/broad-transactions/asc842-10-6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sb.org/cs/ContentServer?c=Document_C&amp;cid=1176178876155&amp;d=&amp;pagename=FASB%2FDocument_C%2FDocumentPage" TargetMode="External"/><Relationship Id="rId22" Type="http://schemas.openxmlformats.org/officeDocument/2006/relationships/hyperlink" Target="https://www.fasb.org/cs/ContentServer?c=Document_C&amp;cid=1176178784700&amp;d=&amp;pagename=FASB%2FDocument_C%2FDocumentPage" TargetMode="External"/><Relationship Id="rId27" Type="http://schemas.openxmlformats.org/officeDocument/2006/relationships/hyperlink" Target="https://www.fasb.org/cs/ContentServer?c=Document_C&amp;cid=1176178876155&amp;d=&amp;pagename=FASB%2FDocument_C%2FDocumentPage" TargetMode="External"/><Relationship Id="rId30" Type="http://schemas.openxmlformats.org/officeDocument/2006/relationships/hyperlink" Target="https://dart.deloitte.com/USDART/home/codification/broad-transactions/asc842-40-50" TargetMode="External"/><Relationship Id="rId35" Type="http://schemas.openxmlformats.org/officeDocument/2006/relationships/hyperlink" Target="https://dart.deloitte.com/USDART/home/codification/broad-transactions/asc832-10-15"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asb.org/cs/ContentServer?c=Document_C&amp;cid=1176178784700&amp;d=&amp;pagename=FASB%2FDocument_C%2FDocumentPage" TargetMode="External"/><Relationship Id="rId17" Type="http://schemas.openxmlformats.org/officeDocument/2006/relationships/hyperlink" Target="https://dart.deloitte.com/USDART/home/publications/deloitte/heads-up/2021/fasb-government-assistance" TargetMode="External"/><Relationship Id="rId25" Type="http://schemas.openxmlformats.org/officeDocument/2006/relationships/hyperlink" Target="https://dart.deloitte.com/USDART/home/codification/broad-transactions/asc805-20-50" TargetMode="External"/><Relationship Id="rId33" Type="http://schemas.openxmlformats.org/officeDocument/2006/relationships/hyperlink" Target="https://dart.deloitte.com/USDART/home/codification/broad-transactions/asc832-10-50" TargetMode="External"/><Relationship Id="rId38" Type="http://schemas.openxmlformats.org/officeDocument/2006/relationships/header" Target="header1.xml"/><Relationship Id="rId20" Type="http://schemas.openxmlformats.org/officeDocument/2006/relationships/hyperlink" Target="https://dart.deloitte.com/USDART/home/codification/expenses/71x/asc718-10-50" TargetMode="External"/><Relationship Id="rId41" Type="http://schemas.openxmlformats.org/officeDocument/2006/relationships/footer" Target="footer2.xm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1/7/22</dc:description>
  <cp:lastModifiedBy>Neville Rohr, Maura</cp:lastModifiedBy>
  <cp:revision>4</cp:revision>
  <cp:lastPrinted>2018-03-28T18:21:00Z</cp:lastPrinted>
  <dcterms:created xsi:type="dcterms:W3CDTF">2022-01-06T14:41:00Z</dcterms:created>
  <dcterms:modified xsi:type="dcterms:W3CDTF">2022-01-06T15:18:00Z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ies>
</file>