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7466" w14:textId="48587A8E" w:rsidR="00CD571D" w:rsidRPr="00194E0F" w:rsidRDefault="00CD571D" w:rsidP="00194E0F">
      <w:pPr>
        <w:pStyle w:val="PGADateSubtitle"/>
        <w:spacing w:before="240" w:after="240" w:line="240" w:lineRule="auto"/>
        <w:rPr>
          <w:rFonts w:asciiTheme="majorHAnsi" w:hAnsiTheme="majorHAnsi" w:cstheme="majorHAnsi"/>
        </w:rPr>
      </w:pPr>
      <w:r w:rsidRPr="00194E0F">
        <w:rPr>
          <w:rFonts w:asciiTheme="majorHAnsi" w:hAnsiTheme="majorHAnsi" w:cstheme="majorHAnsi"/>
          <w:sz w:val="56"/>
          <w:szCs w:val="48"/>
        </w:rPr>
        <w:t xml:space="preserve">Supplement to U.S. GAAP Checklist </w:t>
      </w:r>
      <w:bookmarkStart w:id="0" w:name="_Hlk147404646"/>
      <w:r w:rsidRPr="00194E0F">
        <w:rPr>
          <w:rFonts w:asciiTheme="majorHAnsi" w:hAnsiTheme="majorHAnsi" w:cstheme="majorHAnsi"/>
          <w:sz w:val="56"/>
          <w:szCs w:val="48"/>
        </w:rPr>
        <w:t>—</w:t>
      </w:r>
      <w:bookmarkEnd w:id="0"/>
      <w:r w:rsidRPr="00194E0F">
        <w:rPr>
          <w:rFonts w:asciiTheme="majorHAnsi" w:hAnsiTheme="majorHAnsi" w:cstheme="majorHAnsi"/>
          <w:sz w:val="56"/>
          <w:szCs w:val="48"/>
        </w:rPr>
        <w:t xml:space="preserve"> Quarterly Update: First Quarter</w:t>
      </w:r>
    </w:p>
    <w:p w14:paraId="401B1DAD" w14:textId="0D5AF3D5" w:rsidR="006D046D" w:rsidRPr="00493116" w:rsidRDefault="006D046D" w:rsidP="00194E0F">
      <w:pPr>
        <w:spacing w:after="240" w:line="240" w:lineRule="auto"/>
        <w:rPr>
          <w:rFonts w:ascii="Calibri Light" w:hAnsi="Calibri Light" w:cs="Calibri Light"/>
          <w:color w:val="000000" w:themeColor="text1"/>
        </w:rPr>
      </w:pPr>
      <w:r w:rsidRPr="006D046D">
        <w:rPr>
          <w:rFonts w:ascii="Calibri Light" w:hAnsi="Calibri Light" w:cs="Calibri Light"/>
        </w:rPr>
        <w:t xml:space="preserve">The </w:t>
      </w:r>
      <w:hyperlink r:id="rId8" w:history="1">
        <w:r w:rsidRPr="00022AFA">
          <w:rPr>
            <w:rStyle w:val="Hyperlink"/>
            <w:rFonts w:ascii="Calibri Light" w:hAnsi="Calibri Light" w:cs="Calibri Light"/>
          </w:rPr>
          <w:t>U.S. GAAP Checklist</w:t>
        </w:r>
      </w:hyperlink>
      <w:r w:rsidRPr="006D046D">
        <w:rPr>
          <w:rFonts w:ascii="Calibri Light" w:hAnsi="Calibri Light" w:cs="Calibri Light"/>
        </w:rPr>
        <w:t xml:space="preserve"> was recently revised to reflect updates made to the FASB Accounting Standards Codification as the result of the issuance of</w:t>
      </w:r>
      <w:r>
        <w:t xml:space="preserve"> </w:t>
      </w:r>
      <w:hyperlink r:id="rId9" w:tgtFrame="_blank" w:history="1">
        <w:r w:rsidRPr="000C3662">
          <w:rPr>
            <w:rStyle w:val="Hyperlink"/>
            <w:rFonts w:asciiTheme="majorHAnsi" w:hAnsiTheme="majorHAnsi" w:cstheme="majorHAnsi"/>
          </w:rPr>
          <w:t>ASU 2022-02</w:t>
        </w:r>
      </w:hyperlink>
      <w:r>
        <w:t xml:space="preserve">, </w:t>
      </w:r>
      <w:r w:rsidRPr="006D046D">
        <w:rPr>
          <w:rFonts w:ascii="Calibri Light" w:hAnsi="Calibri Light" w:cs="Calibri Light"/>
        </w:rPr>
        <w:t>which was issued by the FASB in March 2022. This supplement describes the changes to the FASB Accounting Standards Codification (the “Codification”) issued in ASU 2022-02.</w:t>
      </w:r>
    </w:p>
    <w:p w14:paraId="77DDA7E0" w14:textId="2E161FA7" w:rsidR="006D046D" w:rsidRPr="00F176F9" w:rsidRDefault="006D046D" w:rsidP="00194E0F">
      <w:pPr>
        <w:pStyle w:val="PAH2"/>
        <w:spacing w:before="0" w:line="240" w:lineRule="auto"/>
        <w:outlineLvl w:val="0"/>
        <w:rPr>
          <w:rFonts w:ascii="Calibri Light" w:hAnsi="Calibri Light" w:cs="Calibri Light"/>
          <w:b/>
          <w:bCs w:val="0"/>
          <w:i w:val="0"/>
          <w:color w:val="auto"/>
        </w:rPr>
      </w:pPr>
      <w:bookmarkStart w:id="1" w:name="_Hlt407617848"/>
      <w:bookmarkStart w:id="2" w:name="_Hlt407617849"/>
      <w:bookmarkStart w:id="3" w:name="_Hlt399854332"/>
      <w:r w:rsidRPr="00F176F9">
        <w:rPr>
          <w:rFonts w:ascii="Calibri Light" w:hAnsi="Calibri Light" w:cs="Calibri Light"/>
          <w:b/>
          <w:bCs w:val="0"/>
          <w:i w:val="0"/>
          <w:color w:val="auto"/>
        </w:rPr>
        <w:t>U</w:t>
      </w:r>
      <w:bookmarkEnd w:id="1"/>
      <w:bookmarkEnd w:id="2"/>
      <w:bookmarkEnd w:id="3"/>
      <w:r w:rsidRPr="00F176F9">
        <w:rPr>
          <w:rFonts w:ascii="Calibri Light" w:hAnsi="Calibri Light" w:cs="Calibri Light"/>
          <w:b/>
          <w:bCs w:val="0"/>
          <w:i w:val="0"/>
          <w:color w:val="auto"/>
        </w:rPr>
        <w:t>PDATING THE U.S. GAAP CHECKLIST</w:t>
      </w:r>
      <w:r w:rsidR="00536F2F">
        <w:rPr>
          <w:rFonts w:ascii="Calibri Light" w:hAnsi="Calibri Light" w:cs="Calibri Light"/>
          <w:b/>
          <w:bCs w:val="0"/>
          <w:i w:val="0"/>
          <w:color w:val="auto"/>
        </w:rPr>
        <w:t xml:space="preserve"> </w:t>
      </w:r>
    </w:p>
    <w:p w14:paraId="39C63512" w14:textId="3D11F4BC" w:rsidR="0029127B" w:rsidRPr="00493116" w:rsidRDefault="0029127B" w:rsidP="00194E0F">
      <w:pPr>
        <w:spacing w:after="240" w:line="240" w:lineRule="auto"/>
        <w:rPr>
          <w:rStyle w:val="pdocumentul1"/>
          <w:rFonts w:ascii="Calibri Light" w:hAnsi="Calibri Light" w:cs="Calibri Light"/>
        </w:rPr>
      </w:pPr>
      <w:r w:rsidRPr="00493116">
        <w:rPr>
          <w:rFonts w:ascii="Calibri Light" w:hAnsi="Calibri Light" w:cs="Calibri Light"/>
        </w:rPr>
        <w:t xml:space="preserve">Users of the U.S. GAAP Checklist who initiated a checklist prior to this update and determine that </w:t>
      </w:r>
      <w:r w:rsidR="00AF327B">
        <w:rPr>
          <w:rFonts w:ascii="Calibri Light" w:hAnsi="Calibri Light" w:cs="Calibri Light"/>
        </w:rPr>
        <w:t>the ASU</w:t>
      </w:r>
      <w:r w:rsidRPr="00493116">
        <w:rPr>
          <w:rFonts w:ascii="Calibri Light" w:hAnsi="Calibri Light" w:cs="Calibri Light"/>
        </w:rPr>
        <w:t xml:space="preserve"> issued affect</w:t>
      </w:r>
      <w:r w:rsidR="00943BCA">
        <w:rPr>
          <w:rFonts w:ascii="Calibri Light" w:hAnsi="Calibri Light" w:cs="Calibri Light"/>
        </w:rPr>
        <w:t>s</w:t>
      </w:r>
      <w:r w:rsidRPr="00493116">
        <w:rPr>
          <w:rFonts w:ascii="Calibri Light" w:hAnsi="Calibri Light" w:cs="Calibri Light"/>
        </w:rPr>
        <w:t xml:space="preserve"> the period under audit will need to do the following:</w:t>
      </w:r>
    </w:p>
    <w:p w14:paraId="03EEBDA6" w14:textId="77777777" w:rsidR="0029127B" w:rsidRPr="00493116" w:rsidRDefault="0029127B" w:rsidP="00194E0F">
      <w:pPr>
        <w:widowControl w:val="0"/>
        <w:numPr>
          <w:ilvl w:val="0"/>
          <w:numId w:val="42"/>
        </w:numPr>
        <w:autoSpaceDE w:val="0"/>
        <w:autoSpaceDN w:val="0"/>
        <w:spacing w:after="240" w:line="240" w:lineRule="auto"/>
        <w:ind w:left="360"/>
        <w:rPr>
          <w:rStyle w:val="documentlip1"/>
          <w:rFonts w:ascii="Calibri Light" w:hAnsi="Calibri Light" w:cs="Calibri Light"/>
        </w:rPr>
      </w:pPr>
      <w:r w:rsidRPr="00493116">
        <w:rPr>
          <w:rStyle w:val="documentlip1"/>
          <w:rFonts w:ascii="Calibri Light" w:hAnsi="Calibri Light" w:cs="Calibri Light"/>
        </w:rPr>
        <w:t>Request the Deloitte engagement team to initiate a new checklist. This new checklist will supplement the previous checklist created.</w:t>
      </w:r>
    </w:p>
    <w:p w14:paraId="78EE2F11" w14:textId="77777777" w:rsidR="0029127B" w:rsidRPr="00493116" w:rsidRDefault="0029127B" w:rsidP="00194E0F">
      <w:pPr>
        <w:widowControl w:val="0"/>
        <w:numPr>
          <w:ilvl w:val="0"/>
          <w:numId w:val="42"/>
        </w:numPr>
        <w:autoSpaceDE w:val="0"/>
        <w:autoSpaceDN w:val="0"/>
        <w:spacing w:after="240" w:line="240" w:lineRule="auto"/>
        <w:ind w:left="360"/>
        <w:rPr>
          <w:rStyle w:val="documentlip1"/>
          <w:rFonts w:ascii="Calibri Light" w:hAnsi="Calibri Light" w:cs="Calibri Light"/>
        </w:rPr>
      </w:pPr>
      <w:r w:rsidRPr="00493116">
        <w:rPr>
          <w:rStyle w:val="documentlip1"/>
          <w:rFonts w:ascii="Calibri Light" w:hAnsi="Calibri Light" w:cs="Calibri Light"/>
        </w:rPr>
        <w:t>Using the list of updated guidance below, frame the checklist to scope</w:t>
      </w:r>
      <w:r w:rsidRPr="00493116">
        <w:rPr>
          <w:rStyle w:val="documentlip1"/>
          <w:rFonts w:ascii="Calibri Light" w:hAnsi="Calibri Light" w:cs="Calibri Light"/>
          <w:szCs w:val="22"/>
          <w:vertAlign w:val="superscript"/>
        </w:rPr>
        <w:footnoteReference w:id="2"/>
      </w:r>
      <w:r w:rsidRPr="00493116">
        <w:rPr>
          <w:rStyle w:val="documentlip1"/>
          <w:rFonts w:ascii="Calibri Light" w:hAnsi="Calibri Light" w:cs="Calibri Light"/>
          <w:szCs w:val="22"/>
          <w:vertAlign w:val="superscript"/>
        </w:rPr>
        <w:t xml:space="preserve"> </w:t>
      </w:r>
      <w:r w:rsidRPr="00493116">
        <w:rPr>
          <w:rStyle w:val="documentlip1"/>
          <w:rFonts w:ascii="Calibri Light" w:hAnsi="Calibri Light" w:cs="Calibri Light"/>
        </w:rPr>
        <w:t>in only the applicable updated guidance. To determine whether the guidance applies, users may view the updated guidance in the checklist by expanding the Codification tree to the Subsection level and clicking on the Subsection title (usually “General”). The updated guidance generally will appear as “pending content” in the Codification. Transition guidance is linked to pending content paragraphs. Section 15 of each respective ASC Topic within the Codification can be viewed to determine if the guidance applies to the entity. The preparer may also consider Section 55 of each respective ASC Topic within the Codification for implementation guidance and illustrations.</w:t>
      </w:r>
    </w:p>
    <w:p w14:paraId="64908DFE" w14:textId="77777777" w:rsidR="0029127B" w:rsidRPr="00493116" w:rsidRDefault="0029127B" w:rsidP="00194E0F">
      <w:pPr>
        <w:spacing w:after="240" w:line="240" w:lineRule="auto"/>
        <w:rPr>
          <w:rStyle w:val="pdocumentul1"/>
          <w:rFonts w:ascii="Calibri Light" w:hAnsi="Calibri Light" w:cs="Calibri Light"/>
        </w:rPr>
      </w:pPr>
      <w:r w:rsidRPr="00493116">
        <w:rPr>
          <w:rStyle w:val="pdocumentul1"/>
          <w:rFonts w:ascii="Calibri Light" w:hAnsi="Calibri Light" w:cs="Calibri Light"/>
        </w:rPr>
        <w:t>Once the initiation and framing are complete, the new supplemental checklist will include only questions related to the updated guidance that was scoped into that checklist. For users of the U.S. GAAP Checklist that have yet to initiate a checklist prior to this update, the update to the Codification will be automatically incorporated into the newly initiated checklist.</w:t>
      </w:r>
    </w:p>
    <w:p w14:paraId="18A43BFE" w14:textId="4F9FC87F" w:rsidR="0029127B" w:rsidRDefault="0029127B" w:rsidP="00194E0F">
      <w:pPr>
        <w:spacing w:after="240" w:line="240" w:lineRule="auto"/>
        <w:rPr>
          <w:rStyle w:val="pdocumentul1"/>
          <w:rFonts w:ascii="Calibri Light" w:hAnsi="Calibri Light" w:cs="Calibri Light"/>
        </w:rPr>
      </w:pPr>
      <w:r w:rsidRPr="00493116">
        <w:rPr>
          <w:rStyle w:val="pdocumentul1"/>
          <w:rFonts w:ascii="Calibri Light" w:hAnsi="Calibri Light" w:cs="Calibri Light"/>
        </w:rPr>
        <w:t xml:space="preserve">See the </w:t>
      </w:r>
      <w:hyperlink r:id="rId10" w:history="1">
        <w:r w:rsidRPr="00493116">
          <w:rPr>
            <w:rStyle w:val="Hyperlink"/>
            <w:rFonts w:ascii="Calibri Light" w:eastAsia="Verdana" w:hAnsi="Calibri Light" w:cs="Calibri Light"/>
            <w:i/>
          </w:rPr>
          <w:t>Quick Reference Guide</w:t>
        </w:r>
      </w:hyperlink>
      <w:r w:rsidRPr="00493116">
        <w:rPr>
          <w:rStyle w:val="pdocumentul1"/>
          <w:rFonts w:ascii="Calibri Light" w:hAnsi="Calibri Light" w:cs="Calibri Light"/>
        </w:rPr>
        <w:t xml:space="preserve"> for guidance on the Checklist offered through the Disclosure Analytics suite.</w:t>
      </w:r>
    </w:p>
    <w:p w14:paraId="36E8B006" w14:textId="79802CB5" w:rsidR="001B04C6" w:rsidRPr="00194E0F" w:rsidRDefault="001B04C6" w:rsidP="00194E0F">
      <w:pPr>
        <w:spacing w:after="240" w:line="240" w:lineRule="auto"/>
        <w:rPr>
          <w:rFonts w:asciiTheme="majorHAnsi" w:eastAsiaTheme="majorEastAsia" w:hAnsiTheme="majorHAnsi" w:cstheme="majorHAnsi"/>
          <w:b/>
          <w:iCs/>
          <w:sz w:val="32"/>
          <w:szCs w:val="40"/>
        </w:rPr>
      </w:pPr>
      <w:r>
        <w:rPr>
          <w:rFonts w:asciiTheme="majorHAnsi" w:eastAsiaTheme="majorEastAsia" w:hAnsiTheme="majorHAnsi" w:cstheme="majorHAnsi"/>
          <w:b/>
          <w:iCs/>
          <w:sz w:val="32"/>
          <w:szCs w:val="40"/>
        </w:rPr>
        <w:t xml:space="preserve">ASU 2022-02, </w:t>
      </w:r>
      <w:r w:rsidRPr="00194E0F">
        <w:rPr>
          <w:rFonts w:asciiTheme="majorHAnsi" w:eastAsiaTheme="majorEastAsia" w:hAnsiTheme="majorHAnsi" w:cstheme="majorHAnsi"/>
          <w:b/>
          <w:i/>
          <w:sz w:val="32"/>
          <w:szCs w:val="40"/>
        </w:rPr>
        <w:t>Financial Instruments – Credit Losses (Topic 326)</w:t>
      </w:r>
    </w:p>
    <w:p w14:paraId="1FCF4656" w14:textId="6B991C71" w:rsidR="006D046D" w:rsidRDefault="006D046D" w:rsidP="00194E0F">
      <w:pPr>
        <w:spacing w:after="240" w:line="240" w:lineRule="auto"/>
        <w:rPr>
          <w:rFonts w:ascii="Calibri Light" w:hAnsi="Calibri Light" w:cs="Calibri Light"/>
        </w:rPr>
      </w:pPr>
      <w:r w:rsidRPr="00210DFE">
        <w:rPr>
          <w:rFonts w:ascii="Calibri Light" w:hAnsi="Calibri Light" w:cs="Calibri Light"/>
        </w:rPr>
        <w:t xml:space="preserve">On March </w:t>
      </w:r>
      <w:r>
        <w:rPr>
          <w:rFonts w:ascii="Calibri Light" w:hAnsi="Calibri Light" w:cs="Calibri Light"/>
        </w:rPr>
        <w:t>31</w:t>
      </w:r>
      <w:r w:rsidRPr="00210DFE">
        <w:rPr>
          <w:rFonts w:ascii="Calibri Light" w:hAnsi="Calibri Light" w:cs="Calibri Light"/>
        </w:rPr>
        <w:t xml:space="preserve">, 2022, the FASB issued </w:t>
      </w:r>
      <w:hyperlink r:id="rId11" w:tgtFrame="_blank" w:history="1">
        <w:r w:rsidR="0029127B" w:rsidRPr="000C3662">
          <w:rPr>
            <w:rStyle w:val="Hyperlink"/>
            <w:rFonts w:asciiTheme="majorHAnsi" w:hAnsiTheme="majorHAnsi" w:cstheme="majorHAnsi"/>
          </w:rPr>
          <w:t>ASU 2022-02</w:t>
        </w:r>
      </w:hyperlink>
      <w:r>
        <w:rPr>
          <w:rFonts w:ascii="Calibri Light" w:hAnsi="Calibri Light" w:cs="Calibri Light"/>
        </w:rPr>
        <w:t>, w</w:t>
      </w:r>
      <w:r w:rsidRPr="00CC4A60">
        <w:rPr>
          <w:rFonts w:ascii="Calibri Light" w:hAnsi="Calibri Light" w:cs="Calibri Light"/>
        </w:rPr>
        <w:t xml:space="preserve">hich eliminates the accounting guidance </w:t>
      </w:r>
      <w:r w:rsidR="00943BCA" w:rsidRPr="00CC4A60">
        <w:rPr>
          <w:rFonts w:ascii="Calibri Light" w:hAnsi="Calibri Light" w:cs="Calibri Light"/>
        </w:rPr>
        <w:t>in ASC 310-40 </w:t>
      </w:r>
      <w:r w:rsidR="00943BCA">
        <w:rPr>
          <w:rFonts w:ascii="Calibri Light" w:hAnsi="Calibri Light" w:cs="Calibri Light"/>
        </w:rPr>
        <w:t xml:space="preserve"> </w:t>
      </w:r>
      <w:r w:rsidRPr="00CC4A60">
        <w:rPr>
          <w:rFonts w:ascii="Calibri Light" w:hAnsi="Calibri Light" w:cs="Calibri Light"/>
        </w:rPr>
        <w:t xml:space="preserve">on troubled debt restructurings (TDRs) for creditors and amends the guidance on “vintage disclosures” to require disclosure of current-period gross write-offs by year of origination. The ASU also updates the requirements related to accounting for credit losses under ASC 326 and adds enhanced </w:t>
      </w:r>
      <w:r w:rsidRPr="00CC4A60">
        <w:rPr>
          <w:rFonts w:ascii="Calibri Light" w:hAnsi="Calibri Light" w:cs="Calibri Light"/>
        </w:rPr>
        <w:lastRenderedPageBreak/>
        <w:t>disclosures for creditors with respect to loan refinancings and restructurings for borrowers experiencing financial difficulty.</w:t>
      </w:r>
      <w:r>
        <w:rPr>
          <w:rFonts w:ascii="Calibri Light" w:hAnsi="Calibri Light" w:cs="Calibri Light"/>
        </w:rPr>
        <w:t xml:space="preserve"> </w:t>
      </w:r>
    </w:p>
    <w:p w14:paraId="6DCA1C51" w14:textId="6BE50EE3" w:rsidR="006D046D" w:rsidRPr="00097BAF" w:rsidRDefault="006D046D" w:rsidP="00194E0F">
      <w:pPr>
        <w:spacing w:after="240" w:line="240" w:lineRule="auto"/>
        <w:rPr>
          <w:rFonts w:ascii="Calibri Light" w:hAnsi="Calibri Light" w:cs="Calibri Light"/>
        </w:rPr>
      </w:pPr>
      <w:r w:rsidRPr="00097BAF">
        <w:rPr>
          <w:rFonts w:ascii="Calibri Light" w:hAnsi="Calibri Light" w:cs="Calibri Light"/>
        </w:rPr>
        <w:t xml:space="preserve">ASU 2022-02 supersedes the accounting guidance </w:t>
      </w:r>
      <w:r w:rsidR="00943BCA" w:rsidRPr="00097BAF">
        <w:rPr>
          <w:rFonts w:ascii="Calibri Light" w:hAnsi="Calibri Light" w:cs="Calibri Light"/>
        </w:rPr>
        <w:t xml:space="preserve">in ASC 310-40 </w:t>
      </w:r>
      <w:r w:rsidRPr="00097BAF">
        <w:rPr>
          <w:rFonts w:ascii="Calibri Light" w:hAnsi="Calibri Light" w:cs="Calibri Light"/>
        </w:rPr>
        <w:t xml:space="preserve">for TDRs for creditors in its entirety and requires entities to evaluate all receivable modifications under ASC 310-20-35-9 through 35-11 to determine whether a modification made to a </w:t>
      </w:r>
      <w:proofErr w:type="gramStart"/>
      <w:r w:rsidRPr="00097BAF">
        <w:rPr>
          <w:rFonts w:ascii="Calibri Light" w:hAnsi="Calibri Light" w:cs="Calibri Light"/>
        </w:rPr>
        <w:t>borrower results</w:t>
      </w:r>
      <w:proofErr w:type="gramEnd"/>
      <w:r w:rsidRPr="00097BAF">
        <w:rPr>
          <w:rFonts w:ascii="Calibri Light" w:hAnsi="Calibri Light" w:cs="Calibri Light"/>
        </w:rPr>
        <w:t xml:space="preserve"> in a new loan or a continuation of the existing loan. The ASU also amends other subtopics to remove references to TDRs for creditors.</w:t>
      </w:r>
    </w:p>
    <w:p w14:paraId="7CDA64F9" w14:textId="38F86FC4" w:rsidR="006D046D" w:rsidRDefault="006D046D" w:rsidP="00194E0F">
      <w:pPr>
        <w:spacing w:after="240" w:line="240" w:lineRule="auto"/>
        <w:rPr>
          <w:rFonts w:ascii="Calibri Light" w:hAnsi="Calibri Light" w:cs="Calibri Light"/>
        </w:rPr>
      </w:pPr>
      <w:r w:rsidRPr="00097BAF">
        <w:rPr>
          <w:rFonts w:ascii="Calibri Light" w:hAnsi="Calibri Light" w:cs="Calibri Light"/>
        </w:rPr>
        <w:t>In addition to the elimination of TDR guidance, an entity that has adopted ASU 2022-02 no longer considers renewals, modifications, and extensions that result from reasonably expected TDRs in their calculation of the allowance for credit losses in accordance with ASC 326-20.</w:t>
      </w:r>
      <w:r w:rsidR="00943BCA">
        <w:rPr>
          <w:rFonts w:ascii="Calibri Light" w:hAnsi="Calibri Light" w:cs="Calibri Light"/>
        </w:rPr>
        <w:t xml:space="preserve"> </w:t>
      </w:r>
      <w:r>
        <w:rPr>
          <w:rFonts w:ascii="Calibri Light" w:hAnsi="Calibri Light" w:cs="Calibri Light"/>
        </w:rPr>
        <w:t>T</w:t>
      </w:r>
      <w:r w:rsidRPr="00097BAF">
        <w:rPr>
          <w:rFonts w:ascii="Calibri Light" w:hAnsi="Calibri Light" w:cs="Calibri Light"/>
        </w:rPr>
        <w:t xml:space="preserve">he ASU </w:t>
      </w:r>
      <w:r>
        <w:rPr>
          <w:rFonts w:ascii="Calibri Light" w:hAnsi="Calibri Light" w:cs="Calibri Light"/>
        </w:rPr>
        <w:t xml:space="preserve">also </w:t>
      </w:r>
      <w:r w:rsidRPr="00097BAF">
        <w:rPr>
          <w:rFonts w:ascii="Calibri Light" w:hAnsi="Calibri Light" w:cs="Calibri Light"/>
        </w:rPr>
        <w:t xml:space="preserve">requires </w:t>
      </w:r>
      <w:r>
        <w:rPr>
          <w:rFonts w:ascii="Calibri Light" w:hAnsi="Calibri Light" w:cs="Calibri Light"/>
        </w:rPr>
        <w:t xml:space="preserve">a number of </w:t>
      </w:r>
      <w:r w:rsidRPr="00097BAF">
        <w:rPr>
          <w:rFonts w:ascii="Calibri Light" w:hAnsi="Calibri Light" w:cs="Calibri Light"/>
        </w:rPr>
        <w:t>new disclosures</w:t>
      </w:r>
      <w:r>
        <w:rPr>
          <w:rFonts w:ascii="Calibri Light" w:hAnsi="Calibri Light" w:cs="Calibri Light"/>
        </w:rPr>
        <w:t>.</w:t>
      </w:r>
    </w:p>
    <w:p w14:paraId="6160A302" w14:textId="2DE48E11" w:rsidR="006D046D" w:rsidRDefault="00943BCA" w:rsidP="00194E0F">
      <w:pPr>
        <w:spacing w:after="240" w:line="240" w:lineRule="auto"/>
        <w:rPr>
          <w:rFonts w:ascii="Calibri Light" w:hAnsi="Calibri Light" w:cs="Calibri Light"/>
        </w:rPr>
      </w:pPr>
      <w:r>
        <w:rPr>
          <w:rFonts w:ascii="Calibri Light" w:hAnsi="Calibri Light" w:cs="Calibri Light"/>
        </w:rPr>
        <w:t xml:space="preserve">The amendments to </w:t>
      </w:r>
      <w:r w:rsidR="006D046D" w:rsidRPr="00D60C5C">
        <w:rPr>
          <w:rFonts w:ascii="Calibri Light" w:hAnsi="Calibri Light" w:cs="Calibri Light"/>
        </w:rPr>
        <w:t>ASU 2022-0</w:t>
      </w:r>
      <w:r w:rsidR="006D046D">
        <w:rPr>
          <w:rFonts w:ascii="Calibri Light" w:hAnsi="Calibri Light" w:cs="Calibri Light"/>
        </w:rPr>
        <w:t>2</w:t>
      </w:r>
      <w:r w:rsidR="006D046D" w:rsidRPr="00D60C5C">
        <w:rPr>
          <w:rFonts w:ascii="Calibri Light" w:hAnsi="Calibri Light" w:cs="Calibri Light"/>
        </w:rPr>
        <w:t xml:space="preserve"> are effective as follows:</w:t>
      </w:r>
    </w:p>
    <w:p w14:paraId="535A7BFC" w14:textId="77777777" w:rsidR="006D046D" w:rsidRPr="0029127B" w:rsidRDefault="006D046D" w:rsidP="00194E0F">
      <w:pPr>
        <w:pStyle w:val="ListParagraph"/>
        <w:numPr>
          <w:ilvl w:val="0"/>
          <w:numId w:val="36"/>
        </w:numPr>
        <w:shd w:val="clear" w:color="auto" w:fill="FFFFFF"/>
        <w:spacing w:before="150" w:after="240" w:line="240" w:lineRule="auto"/>
        <w:rPr>
          <w:rFonts w:asciiTheme="majorHAnsi" w:hAnsiTheme="majorHAnsi" w:cstheme="majorHAnsi"/>
        </w:rPr>
      </w:pPr>
      <w:r w:rsidRPr="0029127B">
        <w:rPr>
          <w:rFonts w:asciiTheme="majorHAnsi" w:hAnsiTheme="majorHAnsi" w:cstheme="majorHAnsi"/>
        </w:rPr>
        <w:t>For entities that have already adopted ASU 2016-13, the amendments in ASU 2022-02 are effective for fiscal years beginning after December 15, 2022, including interim periods within those fiscal years.</w:t>
      </w:r>
    </w:p>
    <w:p w14:paraId="515360D7" w14:textId="77777777" w:rsidR="006D046D" w:rsidRPr="0029127B" w:rsidRDefault="006D046D" w:rsidP="00194E0F">
      <w:pPr>
        <w:pStyle w:val="ListParagraph"/>
        <w:widowControl w:val="0"/>
        <w:numPr>
          <w:ilvl w:val="0"/>
          <w:numId w:val="36"/>
        </w:numPr>
        <w:autoSpaceDE w:val="0"/>
        <w:autoSpaceDN w:val="0"/>
        <w:spacing w:after="240" w:line="240" w:lineRule="auto"/>
        <w:rPr>
          <w:rFonts w:asciiTheme="majorHAnsi" w:hAnsiTheme="majorHAnsi" w:cstheme="majorHAnsi"/>
        </w:rPr>
      </w:pPr>
      <w:r w:rsidRPr="0029127B">
        <w:rPr>
          <w:rFonts w:asciiTheme="majorHAnsi" w:hAnsiTheme="majorHAnsi" w:cstheme="majorHAnsi"/>
        </w:rPr>
        <w:t>For entities that have not yet adopted ASU 2016-13, the amendments in ASU 2022-02 are effective upon adoption of ASU 2016-13.</w:t>
      </w:r>
    </w:p>
    <w:p w14:paraId="06B70056" w14:textId="342AF02D" w:rsidR="006D046D" w:rsidRPr="00CC4A60" w:rsidRDefault="006D046D" w:rsidP="00194E0F">
      <w:pPr>
        <w:spacing w:after="240" w:line="240" w:lineRule="auto"/>
        <w:rPr>
          <w:rFonts w:ascii="Calibri Light" w:hAnsi="Calibri Light" w:cs="Calibri Light"/>
        </w:rPr>
      </w:pPr>
      <w:r w:rsidRPr="00CC4A60">
        <w:rPr>
          <w:rFonts w:ascii="Calibri Light" w:hAnsi="Calibri Light" w:cs="Calibri Light"/>
        </w:rPr>
        <w:t>Entities are permitted to early adopt these amendments, including adoption in any interim period, provided that the amendments are adopted as of the beginning of the annual reporting period that includes the interim period of adoption</w:t>
      </w:r>
      <w:r w:rsidR="00CE296A" w:rsidRPr="00CC4A60">
        <w:rPr>
          <w:rFonts w:ascii="Calibri Light" w:hAnsi="Calibri Light" w:cs="Calibri Light"/>
        </w:rPr>
        <w:t>.</w:t>
      </w:r>
      <w:r w:rsidR="00CE296A">
        <w:rPr>
          <w:rFonts w:ascii="Calibri Light" w:hAnsi="Calibri Light" w:cs="Calibri Light"/>
        </w:rPr>
        <w:t xml:space="preserve"> </w:t>
      </w:r>
      <w:r w:rsidRPr="00CC4A60">
        <w:rPr>
          <w:rFonts w:ascii="Calibri Light" w:hAnsi="Calibri Light" w:cs="Calibri Light"/>
        </w:rPr>
        <w:t>In addition, entities are permitted to early adopt the amendments related to TDR accounting and related disclosure enhancements separately from the amendments related to the vintage disclosures.</w:t>
      </w:r>
    </w:p>
    <w:p w14:paraId="359489C2" w14:textId="7F2C7715" w:rsidR="006D046D" w:rsidRDefault="006D046D" w:rsidP="00194E0F">
      <w:pPr>
        <w:spacing w:after="240" w:line="240" w:lineRule="auto"/>
        <w:rPr>
          <w:rFonts w:ascii="Calibri Light" w:hAnsi="Calibri Light" w:cs="Calibri Light"/>
        </w:rPr>
      </w:pPr>
      <w:r w:rsidRPr="00CC4A60">
        <w:rPr>
          <w:rFonts w:ascii="Calibri Light" w:hAnsi="Calibri Light" w:cs="Calibri Light"/>
        </w:rPr>
        <w:t xml:space="preserve">Entities may elect to apply the updated guidance on TDR recognition and measurement by using a modified retrospective transition method, which would result in a cumulative-effect adjustment to retained earnings, or to adopt the amendments prospectively. If an entity elects to adopt the updated guidance on TDR recognition and measurement prospectively, the guidance should be applied to modifications occurring after the date of adoption. The amendments on TDR disclosures and vintage </w:t>
      </w:r>
      <w:r w:rsidRPr="00D60C5C">
        <w:rPr>
          <w:rFonts w:ascii="Calibri Light" w:hAnsi="Calibri Light" w:cs="Calibri Light"/>
        </w:rPr>
        <w:t>disclosures</w:t>
      </w:r>
      <w:r w:rsidRPr="00097BAF">
        <w:rPr>
          <w:rFonts w:ascii="Calibri Light" w:hAnsi="Calibri Light" w:cs="Calibri Light"/>
        </w:rPr>
        <w:t xml:space="preserve"> </w:t>
      </w:r>
      <w:r w:rsidRPr="000C794E">
        <w:rPr>
          <w:rFonts w:ascii="Calibri Light" w:hAnsi="Calibri Light" w:cs="Calibri Light"/>
        </w:rPr>
        <w:t>should be adopted prospectively</w:t>
      </w:r>
      <w:r w:rsidR="0029127B">
        <w:rPr>
          <w:rFonts w:ascii="Calibri Light" w:hAnsi="Calibri Light" w:cs="Calibri Light"/>
        </w:rPr>
        <w:t>.</w:t>
      </w:r>
    </w:p>
    <w:p w14:paraId="1E7598E4" w14:textId="77777777" w:rsidR="006D046D" w:rsidRDefault="006D046D" w:rsidP="00194E0F">
      <w:pPr>
        <w:spacing w:after="240" w:line="240" w:lineRule="auto"/>
        <w:rPr>
          <w:rFonts w:ascii="Calibri Light" w:hAnsi="Calibri Light" w:cs="Calibri Light"/>
        </w:rPr>
      </w:pPr>
      <w:r w:rsidRPr="00493116">
        <w:rPr>
          <w:rFonts w:ascii="Calibri Light" w:hAnsi="Calibri Light" w:cs="Calibri Light"/>
        </w:rPr>
        <w:t xml:space="preserve">See Deloitte’s </w:t>
      </w:r>
      <w:r>
        <w:rPr>
          <w:rFonts w:ascii="Calibri Light" w:hAnsi="Calibri Light" w:cs="Calibri Light"/>
        </w:rPr>
        <w:t>April 4</w:t>
      </w:r>
      <w:r w:rsidRPr="00493116">
        <w:rPr>
          <w:rFonts w:ascii="Calibri Light" w:hAnsi="Calibri Light" w:cs="Calibri Light"/>
        </w:rPr>
        <w:t>, 202</w:t>
      </w:r>
      <w:r>
        <w:rPr>
          <w:rFonts w:ascii="Calibri Light" w:hAnsi="Calibri Light" w:cs="Calibri Light"/>
        </w:rPr>
        <w:t>2,</w:t>
      </w:r>
      <w:r w:rsidRPr="00493116">
        <w:rPr>
          <w:rFonts w:ascii="Calibri Light" w:hAnsi="Calibri Light" w:cs="Calibri Light"/>
        </w:rPr>
        <w:t xml:space="preserve"> </w:t>
      </w:r>
      <w:hyperlink r:id="rId12" w:history="1">
        <w:r w:rsidRPr="006F5277">
          <w:rPr>
            <w:rStyle w:val="Hyperlink"/>
            <w:rFonts w:ascii="Calibri Light" w:hAnsi="Calibri Light" w:cs="Calibri Light"/>
            <w:i/>
          </w:rPr>
          <w:t>Heads Up</w:t>
        </w:r>
      </w:hyperlink>
      <w:r w:rsidRPr="00493116">
        <w:rPr>
          <w:rFonts w:ascii="Calibri Light" w:hAnsi="Calibri Light" w:cs="Calibri Light"/>
        </w:rPr>
        <w:t xml:space="preserve"> for a comprehensive summary of the amendments </w:t>
      </w:r>
      <w:r>
        <w:rPr>
          <w:rFonts w:ascii="Calibri Light" w:hAnsi="Calibri Light" w:cs="Calibri Light"/>
        </w:rPr>
        <w:t>made by</w:t>
      </w:r>
      <w:r w:rsidRPr="00493116">
        <w:rPr>
          <w:rFonts w:ascii="Calibri Light" w:hAnsi="Calibri Light" w:cs="Calibri Light"/>
        </w:rPr>
        <w:t xml:space="preserve"> ASU 202</w:t>
      </w:r>
      <w:r>
        <w:rPr>
          <w:rFonts w:ascii="Calibri Light" w:hAnsi="Calibri Light" w:cs="Calibri Light"/>
        </w:rPr>
        <w:t>2</w:t>
      </w:r>
      <w:r w:rsidRPr="00493116">
        <w:rPr>
          <w:rFonts w:ascii="Calibri Light" w:hAnsi="Calibri Light" w:cs="Calibri Light"/>
        </w:rPr>
        <w:t>-0</w:t>
      </w:r>
      <w:r>
        <w:rPr>
          <w:rFonts w:ascii="Calibri Light" w:hAnsi="Calibri Light" w:cs="Calibri Light"/>
        </w:rPr>
        <w:t>2</w:t>
      </w:r>
      <w:r w:rsidRPr="00493116">
        <w:rPr>
          <w:rFonts w:ascii="Calibri Light" w:hAnsi="Calibri Light" w:cs="Calibri Light"/>
        </w:rPr>
        <w:t>.</w:t>
      </w:r>
    </w:p>
    <w:p w14:paraId="3EB66185" w14:textId="77777777" w:rsidR="006D046D" w:rsidRPr="0068337C" w:rsidRDefault="006D046D" w:rsidP="00194E0F">
      <w:pPr>
        <w:keepNext/>
        <w:spacing w:after="240" w:line="240" w:lineRule="auto"/>
        <w:rPr>
          <w:rFonts w:ascii="Calibri Light" w:hAnsi="Calibri Light" w:cs="Calibri Light"/>
          <w:b/>
          <w:bCs/>
          <w:sz w:val="28"/>
          <w:szCs w:val="28"/>
        </w:rPr>
      </w:pPr>
      <w:r w:rsidRPr="0068337C">
        <w:rPr>
          <w:rFonts w:ascii="Calibri Light" w:hAnsi="Calibri Light" w:cs="Calibri Light"/>
          <w:b/>
          <w:bCs/>
          <w:sz w:val="28"/>
          <w:szCs w:val="28"/>
        </w:rPr>
        <w:t>Changes Reflected in the U.S. GAAP Checklist and Codification</w:t>
      </w:r>
    </w:p>
    <w:p w14:paraId="20BF646C" w14:textId="32D6D4B1" w:rsidR="006D046D" w:rsidRPr="006D046D" w:rsidRDefault="00EA227D" w:rsidP="00194E0F">
      <w:pPr>
        <w:pStyle w:val="PABulletLink75IND"/>
        <w:numPr>
          <w:ilvl w:val="0"/>
          <w:numId w:val="35"/>
        </w:numPr>
        <w:shd w:val="clear" w:color="auto" w:fill="FFFFFF"/>
        <w:spacing w:before="0" w:after="240" w:line="240" w:lineRule="auto"/>
        <w:ind w:left="270" w:hanging="270"/>
        <w:rPr>
          <w:rStyle w:val="Hyperlink"/>
          <w:rFonts w:ascii="Calibri Light" w:hAnsi="Calibri Light" w:cs="Calibri Light"/>
          <w:b/>
          <w:iCs/>
        </w:rPr>
      </w:pPr>
      <w:hyperlink r:id="rId13" w:history="1">
        <w:r w:rsidR="006D046D">
          <w:rPr>
            <w:rStyle w:val="Hyperlink"/>
            <w:rFonts w:ascii="Calibri Light" w:hAnsi="Calibri Light" w:cs="Calibri Light"/>
            <w:b/>
            <w:iCs/>
          </w:rPr>
          <w:t xml:space="preserve">2022-02 — </w:t>
        </w:r>
        <w:r w:rsidR="006D046D">
          <w:rPr>
            <w:rStyle w:val="Hyperlink"/>
            <w:rFonts w:ascii="Calibri Light" w:hAnsi="Calibri Light" w:cs="Calibri Light"/>
            <w:b/>
            <w:i/>
          </w:rPr>
          <w:t>Financial Instruments—Credit Losses (Topic 326): Troubled Debt Restructurings and Vintage Disclosures</w:t>
        </w:r>
      </w:hyperlink>
    </w:p>
    <w:p w14:paraId="57EFA665" w14:textId="132A054B" w:rsidR="006D046D" w:rsidRPr="006D046D" w:rsidRDefault="006D046D" w:rsidP="00194E0F">
      <w:pPr>
        <w:spacing w:after="240" w:line="240" w:lineRule="auto"/>
        <w:rPr>
          <w:rStyle w:val="Hyperlink"/>
          <w:rFonts w:ascii="Calibri Light" w:hAnsi="Calibri Light" w:cs="Calibri Light"/>
          <w:color w:val="auto"/>
        </w:rPr>
      </w:pPr>
      <w:r w:rsidRPr="00191D9F">
        <w:rPr>
          <w:rFonts w:ascii="Calibri Light" w:hAnsi="Calibri Light" w:cs="Calibri Light"/>
        </w:rPr>
        <w:t>As a result of ASU</w:t>
      </w:r>
      <w:r w:rsidR="00943BCA">
        <w:rPr>
          <w:rFonts w:ascii="Calibri Light" w:hAnsi="Calibri Light" w:cs="Calibri Light"/>
        </w:rPr>
        <w:t xml:space="preserve"> 2022-2</w:t>
      </w:r>
      <w:r w:rsidRPr="00191D9F">
        <w:rPr>
          <w:rFonts w:ascii="Calibri Light" w:hAnsi="Calibri Light" w:cs="Calibri Light"/>
        </w:rPr>
        <w:t xml:space="preserve">, the following </w:t>
      </w:r>
      <w:r>
        <w:rPr>
          <w:rFonts w:ascii="Calibri Light" w:hAnsi="Calibri Light" w:cs="Calibri Light"/>
        </w:rPr>
        <w:t>questions</w:t>
      </w:r>
      <w:r w:rsidRPr="00191D9F">
        <w:rPr>
          <w:rFonts w:ascii="Calibri Light" w:hAnsi="Calibri Light" w:cs="Calibri Light"/>
        </w:rPr>
        <w:t xml:space="preserve"> h</w:t>
      </w:r>
      <w:r>
        <w:rPr>
          <w:rFonts w:ascii="Calibri Light" w:hAnsi="Calibri Light" w:cs="Calibri Light"/>
        </w:rPr>
        <w:t>ave</w:t>
      </w:r>
      <w:r w:rsidRPr="00191D9F">
        <w:rPr>
          <w:rFonts w:ascii="Calibri Light" w:hAnsi="Calibri Light" w:cs="Calibri Light"/>
        </w:rPr>
        <w:t xml:space="preserve"> been updated in the U.S. GAAP Checklist</w:t>
      </w:r>
      <w:r>
        <w:rPr>
          <w:rFonts w:ascii="Calibri Light" w:hAnsi="Calibri Light" w:cs="Calibri Light"/>
        </w:rPr>
        <w:t>:</w:t>
      </w:r>
    </w:p>
    <w:p w14:paraId="3AF52B1F" w14:textId="0781A6AE" w:rsidR="00CA4FE8" w:rsidRPr="006D046D" w:rsidRDefault="00CA4FE8" w:rsidP="00194E0F">
      <w:pPr>
        <w:spacing w:after="120" w:line="240" w:lineRule="auto"/>
        <w:rPr>
          <w:rFonts w:asciiTheme="majorHAnsi" w:hAnsiTheme="majorHAnsi" w:cstheme="majorHAnsi"/>
          <w:b/>
          <w:bCs/>
          <w:lang w:val="en-GB"/>
        </w:rPr>
      </w:pPr>
      <w:bookmarkStart w:id="4" w:name="_Hlk164767832"/>
      <w:r w:rsidRPr="006D046D">
        <w:rPr>
          <w:rFonts w:asciiTheme="majorHAnsi" w:hAnsiTheme="majorHAnsi" w:cstheme="majorHAnsi"/>
          <w:b/>
          <w:bCs/>
          <w:lang w:val="en-GB"/>
        </w:rPr>
        <w:t>310-10-50-36</w:t>
      </w:r>
    </w:p>
    <w:p w14:paraId="6E415CE7" w14:textId="211D98F5" w:rsidR="0024601B" w:rsidRPr="006D046D" w:rsidRDefault="0024601B" w:rsidP="00194E0F">
      <w:pPr>
        <w:spacing w:after="12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310-10-50-36?</w:t>
      </w:r>
    </w:p>
    <w:p w14:paraId="17E68C4E" w14:textId="13E2B986" w:rsidR="00CA4FE8" w:rsidRPr="006D046D" w:rsidRDefault="00CA4FE8" w:rsidP="00194E0F">
      <w:pPr>
        <w:keepNext/>
        <w:spacing w:after="120" w:line="240" w:lineRule="auto"/>
        <w:rPr>
          <w:rFonts w:asciiTheme="majorHAnsi" w:hAnsiTheme="majorHAnsi" w:cstheme="majorHAnsi"/>
          <w:b/>
          <w:bCs/>
          <w:lang w:val="en-GB"/>
        </w:rPr>
      </w:pPr>
      <w:r w:rsidRPr="006D046D">
        <w:rPr>
          <w:rFonts w:asciiTheme="majorHAnsi" w:hAnsiTheme="majorHAnsi" w:cstheme="majorHAnsi"/>
          <w:b/>
          <w:bCs/>
          <w:lang w:val="en-GB"/>
        </w:rPr>
        <w:lastRenderedPageBreak/>
        <w:t>310-10-50-37</w:t>
      </w:r>
    </w:p>
    <w:p w14:paraId="0B5816EB" w14:textId="6493F6FA" w:rsidR="00BF0E75" w:rsidRPr="006D046D" w:rsidRDefault="0024601B" w:rsidP="00194E0F">
      <w:pPr>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310-10-50-37?</w:t>
      </w:r>
    </w:p>
    <w:p w14:paraId="78D537DA" w14:textId="5D1DD85A"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310-10-50-38</w:t>
      </w:r>
    </w:p>
    <w:p w14:paraId="5363596D" w14:textId="5EE265C9" w:rsidR="00BF0E75" w:rsidRPr="006D046D" w:rsidRDefault="0024601B" w:rsidP="00194E0F">
      <w:pPr>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310-10-50-38?</w:t>
      </w:r>
    </w:p>
    <w:p w14:paraId="725EF3BD" w14:textId="2D6800E3"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310-10-50-39</w:t>
      </w:r>
    </w:p>
    <w:p w14:paraId="5B921525" w14:textId="40222D8B" w:rsidR="00BF0E75" w:rsidRPr="006D046D" w:rsidRDefault="0024601B" w:rsidP="00194E0F">
      <w:pPr>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310-10-50-39?</w:t>
      </w:r>
    </w:p>
    <w:p w14:paraId="75969881" w14:textId="5ACD1545"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310-10-50-40</w:t>
      </w:r>
    </w:p>
    <w:p w14:paraId="3C866F5B" w14:textId="2494A8DE" w:rsidR="00BF0E75" w:rsidRPr="006D046D" w:rsidRDefault="0024601B" w:rsidP="00194E0F">
      <w:pPr>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310-10-50-40?</w:t>
      </w:r>
    </w:p>
    <w:p w14:paraId="6C5D8545" w14:textId="45A0DC28"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310-10-50-41</w:t>
      </w:r>
    </w:p>
    <w:p w14:paraId="0FECDB03" w14:textId="2034E8F0" w:rsidR="00BF0E75" w:rsidRPr="006D046D" w:rsidRDefault="0024601B" w:rsidP="00194E0F">
      <w:pPr>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310-10-50-41?</w:t>
      </w:r>
    </w:p>
    <w:p w14:paraId="64E5C0D5" w14:textId="4D5D91F6"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310-10-50-42</w:t>
      </w:r>
    </w:p>
    <w:p w14:paraId="23B73DFE" w14:textId="5545773A" w:rsidR="00BF0E75" w:rsidRPr="006D046D" w:rsidRDefault="0024601B" w:rsidP="00194E0F">
      <w:pPr>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310-10-50-42?</w:t>
      </w:r>
    </w:p>
    <w:p w14:paraId="108AD2EE" w14:textId="5F5C10B7"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310-10-50-43</w:t>
      </w:r>
    </w:p>
    <w:p w14:paraId="5DCD11A3" w14:textId="14D9471B" w:rsidR="00BF0E75" w:rsidRPr="006D046D" w:rsidRDefault="0024601B" w:rsidP="00194E0F">
      <w:pPr>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310-10-50-43?</w:t>
      </w:r>
    </w:p>
    <w:p w14:paraId="44562BBA" w14:textId="3EFFA25E"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310-10-50-44</w:t>
      </w:r>
    </w:p>
    <w:p w14:paraId="40AFB142" w14:textId="3CC56BA6" w:rsidR="00BF0E75" w:rsidRPr="006D046D" w:rsidRDefault="0024601B" w:rsidP="00194E0F">
      <w:pPr>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310-10-50-44?</w:t>
      </w:r>
    </w:p>
    <w:p w14:paraId="2A31184D" w14:textId="04133196"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310-10-50-45</w:t>
      </w:r>
    </w:p>
    <w:p w14:paraId="047C42F2" w14:textId="581F7A7C" w:rsidR="00BF0E75" w:rsidRPr="006D046D" w:rsidRDefault="0024601B" w:rsidP="00194E0F">
      <w:pPr>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310-10-50-45?</w:t>
      </w:r>
    </w:p>
    <w:p w14:paraId="4104BB3E" w14:textId="1A33ECCE"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310-10-50-46</w:t>
      </w:r>
    </w:p>
    <w:p w14:paraId="12C9446D" w14:textId="5692916C" w:rsidR="00BF0E75" w:rsidRPr="006D046D" w:rsidRDefault="0024601B" w:rsidP="00194E0F">
      <w:pPr>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310-10-50-46?</w:t>
      </w:r>
    </w:p>
    <w:p w14:paraId="78A586E4" w14:textId="720B7185"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310-10-50-47</w:t>
      </w:r>
    </w:p>
    <w:p w14:paraId="592F3B16" w14:textId="3802F206" w:rsidR="00CA4FE8" w:rsidRPr="006D046D" w:rsidRDefault="004D5A81" w:rsidP="00194E0F">
      <w:pPr>
        <w:spacing w:after="240" w:line="240" w:lineRule="auto"/>
        <w:rPr>
          <w:rFonts w:asciiTheme="majorHAnsi" w:hAnsiTheme="majorHAnsi" w:cstheme="majorHAnsi"/>
          <w:lang w:val="en-GB"/>
        </w:rPr>
      </w:pPr>
      <w:r w:rsidRPr="006D046D">
        <w:rPr>
          <w:rFonts w:asciiTheme="majorHAnsi" w:hAnsiTheme="majorHAnsi" w:cstheme="majorHAnsi"/>
          <w:lang w:val="en-GB"/>
        </w:rPr>
        <w:t>If the debt has been previously restructured, did the entity consider the cumulative effect of past restructurings made within the 12-month period before the current restructuring when determining whether a delay in payment resulting from the current restructuring is insignificant</w:t>
      </w:r>
      <w:r w:rsidR="00CA4FE8" w:rsidRPr="006D046D">
        <w:rPr>
          <w:rFonts w:asciiTheme="majorHAnsi" w:hAnsiTheme="majorHAnsi" w:cstheme="majorHAnsi"/>
          <w:lang w:val="en-GB"/>
        </w:rPr>
        <w:t>?</w:t>
      </w:r>
    </w:p>
    <w:p w14:paraId="6150764F" w14:textId="1489F687" w:rsidR="00CA4FE8" w:rsidRPr="006D046D" w:rsidRDefault="00CA4FE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310-10-50-48</w:t>
      </w:r>
    </w:p>
    <w:p w14:paraId="2D580591" w14:textId="0430248A" w:rsidR="0024601B" w:rsidRPr="006D046D" w:rsidRDefault="0024601B" w:rsidP="00194E0F">
      <w:pPr>
        <w:tabs>
          <w:tab w:val="left" w:pos="6725"/>
        </w:tabs>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310-10-50-48?</w:t>
      </w:r>
    </w:p>
    <w:p w14:paraId="4D639067" w14:textId="22A95389"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310-20-35-2</w:t>
      </w:r>
    </w:p>
    <w:p w14:paraId="4C5BC6C3" w14:textId="540BFE4A" w:rsidR="00560BB8" w:rsidRPr="006D046D" w:rsidRDefault="0024601B" w:rsidP="00194E0F">
      <w:pPr>
        <w:tabs>
          <w:tab w:val="left" w:pos="6725"/>
        </w:tabs>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310-20-35-2?</w:t>
      </w:r>
    </w:p>
    <w:p w14:paraId="368336E8" w14:textId="0DCD1DE9"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310-20-35-9</w:t>
      </w:r>
    </w:p>
    <w:p w14:paraId="456CF997" w14:textId="245194B4" w:rsidR="006B347F" w:rsidRPr="006D046D" w:rsidRDefault="0024601B" w:rsidP="00194E0F">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310-20-35-9?</w:t>
      </w:r>
    </w:p>
    <w:p w14:paraId="00E2014A" w14:textId="77519EE2"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lastRenderedPageBreak/>
        <w:t>310-20-35-10</w:t>
      </w:r>
    </w:p>
    <w:p w14:paraId="03BB9CD3" w14:textId="54CE1962" w:rsidR="006B347F" w:rsidRPr="006D046D" w:rsidRDefault="0024601B" w:rsidP="00194E0F">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310-20-35-10?</w:t>
      </w:r>
    </w:p>
    <w:p w14:paraId="60EB3F84" w14:textId="42191E28"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310-20-35-11</w:t>
      </w:r>
    </w:p>
    <w:p w14:paraId="05BA7A03" w14:textId="05C1C218"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310-20-35-11?</w:t>
      </w:r>
    </w:p>
    <w:p w14:paraId="7501E7B7" w14:textId="0E7AC45A"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310-20-35-12A</w:t>
      </w:r>
    </w:p>
    <w:p w14:paraId="55AEFA73" w14:textId="38116F23"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310-20-35-12A?</w:t>
      </w:r>
    </w:p>
    <w:p w14:paraId="343B988D" w14:textId="481B5361" w:rsidR="006B347F" w:rsidRPr="006D046D" w:rsidRDefault="00BF0E75" w:rsidP="00194E0F">
      <w:pPr>
        <w:keepNext/>
        <w:spacing w:after="120" w:line="240" w:lineRule="auto"/>
        <w:rPr>
          <w:rFonts w:asciiTheme="majorHAnsi" w:hAnsiTheme="majorHAnsi" w:cstheme="majorHAnsi"/>
          <w:b/>
          <w:bCs/>
          <w:lang w:val="en-GB"/>
        </w:rPr>
      </w:pPr>
      <w:r w:rsidRPr="006D046D">
        <w:rPr>
          <w:rFonts w:asciiTheme="majorHAnsi" w:hAnsiTheme="majorHAnsi" w:cstheme="majorHAnsi"/>
          <w:b/>
          <w:bCs/>
          <w:lang w:val="en-GB"/>
        </w:rPr>
        <w:t>ASC 310-20-35</w:t>
      </w:r>
      <w:r w:rsidR="00943BCA">
        <w:rPr>
          <w:rFonts w:asciiTheme="majorHAnsi" w:hAnsiTheme="majorHAnsi" w:cstheme="majorHAnsi"/>
          <w:b/>
          <w:bCs/>
          <w:lang w:val="en-GB"/>
        </w:rPr>
        <w:t>,</w:t>
      </w:r>
      <w:r w:rsidRPr="006D046D">
        <w:rPr>
          <w:rFonts w:asciiTheme="majorHAnsi" w:hAnsiTheme="majorHAnsi" w:cstheme="majorHAnsi"/>
          <w:b/>
          <w:bCs/>
          <w:lang w:val="en-GB"/>
        </w:rPr>
        <w:t xml:space="preserve"> </w:t>
      </w:r>
      <w:r w:rsidRPr="00194E0F">
        <w:rPr>
          <w:rFonts w:asciiTheme="majorHAnsi" w:hAnsiTheme="majorHAnsi" w:cstheme="majorHAnsi"/>
          <w:b/>
          <w:bCs/>
          <w:i/>
          <w:iCs/>
          <w:lang w:val="en-GB"/>
        </w:rPr>
        <w:t>Partial Satisfaction of a Receivable</w:t>
      </w:r>
    </w:p>
    <w:p w14:paraId="3B5B59F9" w14:textId="5B5A9C6F" w:rsidR="00BF0E75"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310-20-35</w:t>
      </w:r>
      <w:r w:rsidR="00943BCA">
        <w:rPr>
          <w:rFonts w:asciiTheme="majorHAnsi" w:hAnsiTheme="majorHAnsi" w:cstheme="majorHAnsi"/>
          <w:color w:val="000000"/>
          <w:shd w:val="clear" w:color="auto" w:fill="FFFFFF"/>
        </w:rPr>
        <w:t>,</w:t>
      </w:r>
      <w:r w:rsidRPr="006D046D">
        <w:rPr>
          <w:rFonts w:asciiTheme="majorHAnsi" w:hAnsiTheme="majorHAnsi" w:cstheme="majorHAnsi"/>
          <w:color w:val="000000"/>
          <w:shd w:val="clear" w:color="auto" w:fill="FFFFFF"/>
        </w:rPr>
        <w:t xml:space="preserve"> </w:t>
      </w:r>
      <w:r w:rsidRPr="004A2831">
        <w:rPr>
          <w:rFonts w:asciiTheme="majorHAnsi" w:hAnsiTheme="majorHAnsi" w:cstheme="majorHAnsi"/>
          <w:color w:val="000000"/>
          <w:shd w:val="clear" w:color="auto" w:fill="FFFFFF"/>
        </w:rPr>
        <w:t>Partial Satisfaction of a Receivable</w:t>
      </w:r>
      <w:r w:rsidRPr="006D046D">
        <w:rPr>
          <w:rFonts w:asciiTheme="majorHAnsi" w:hAnsiTheme="majorHAnsi" w:cstheme="majorHAnsi"/>
          <w:color w:val="000000"/>
          <w:shd w:val="clear" w:color="auto" w:fill="FFFFFF"/>
        </w:rPr>
        <w:t>?</w:t>
      </w:r>
    </w:p>
    <w:p w14:paraId="62BF19C4" w14:textId="3E303341" w:rsidR="006B347F" w:rsidRPr="006D046D" w:rsidRDefault="00BF0E75"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ASC 310-20-35</w:t>
      </w:r>
      <w:r w:rsidR="00943BCA">
        <w:rPr>
          <w:rFonts w:asciiTheme="majorHAnsi" w:hAnsiTheme="majorHAnsi" w:cstheme="majorHAnsi"/>
          <w:b/>
          <w:bCs/>
          <w:lang w:val="en-GB"/>
        </w:rPr>
        <w:t>,</w:t>
      </w:r>
      <w:r w:rsidRPr="006D046D">
        <w:rPr>
          <w:rFonts w:asciiTheme="majorHAnsi" w:hAnsiTheme="majorHAnsi" w:cstheme="majorHAnsi"/>
          <w:b/>
          <w:bCs/>
          <w:lang w:val="en-GB"/>
        </w:rPr>
        <w:t xml:space="preserve"> </w:t>
      </w:r>
      <w:r w:rsidRPr="00194E0F">
        <w:rPr>
          <w:rFonts w:asciiTheme="majorHAnsi" w:hAnsiTheme="majorHAnsi" w:cstheme="majorHAnsi"/>
          <w:b/>
          <w:bCs/>
          <w:i/>
          <w:iCs/>
          <w:lang w:val="en-GB"/>
        </w:rPr>
        <w:t>Impairment</w:t>
      </w:r>
    </w:p>
    <w:p w14:paraId="04E6BF17" w14:textId="5A2B11CA" w:rsidR="00BF0E75"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310-20-35</w:t>
      </w:r>
      <w:r w:rsidR="00943BCA">
        <w:rPr>
          <w:rFonts w:asciiTheme="majorHAnsi" w:hAnsiTheme="majorHAnsi" w:cstheme="majorHAnsi"/>
          <w:color w:val="000000"/>
          <w:shd w:val="clear" w:color="auto" w:fill="FFFFFF"/>
        </w:rPr>
        <w:t>,</w:t>
      </w:r>
      <w:r w:rsidRPr="006D046D">
        <w:rPr>
          <w:rFonts w:asciiTheme="majorHAnsi" w:hAnsiTheme="majorHAnsi" w:cstheme="majorHAnsi"/>
          <w:color w:val="000000"/>
          <w:shd w:val="clear" w:color="auto" w:fill="FFFFFF"/>
        </w:rPr>
        <w:t xml:space="preserve"> </w:t>
      </w:r>
      <w:r w:rsidRPr="004A2831">
        <w:rPr>
          <w:rFonts w:asciiTheme="majorHAnsi" w:hAnsiTheme="majorHAnsi" w:cstheme="majorHAnsi"/>
          <w:color w:val="000000"/>
          <w:shd w:val="clear" w:color="auto" w:fill="FFFFFF"/>
        </w:rPr>
        <w:t>Impairment</w:t>
      </w:r>
      <w:r w:rsidRPr="006D046D">
        <w:rPr>
          <w:rFonts w:asciiTheme="majorHAnsi" w:hAnsiTheme="majorHAnsi" w:cstheme="majorHAnsi"/>
          <w:color w:val="000000"/>
          <w:shd w:val="clear" w:color="auto" w:fill="FFFFFF"/>
        </w:rPr>
        <w:t>?</w:t>
      </w:r>
    </w:p>
    <w:p w14:paraId="4F441B29" w14:textId="5435ACCF"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310-20-40-2</w:t>
      </w:r>
    </w:p>
    <w:p w14:paraId="42C145FE" w14:textId="31C456E4" w:rsidR="00560BB8" w:rsidRPr="006D046D" w:rsidRDefault="0024601B" w:rsidP="00FB7C1C">
      <w:pPr>
        <w:tabs>
          <w:tab w:val="left" w:pos="6725"/>
        </w:tabs>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310-20-40-2?</w:t>
      </w:r>
    </w:p>
    <w:p w14:paraId="7FF5029D" w14:textId="1293D9A4"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310-20-40-3</w:t>
      </w:r>
    </w:p>
    <w:p w14:paraId="38B3E113" w14:textId="5DC271FA"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310-20-40-3?</w:t>
      </w:r>
    </w:p>
    <w:p w14:paraId="6021A2A3" w14:textId="23AD7F6D"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310-20-40-4</w:t>
      </w:r>
    </w:p>
    <w:p w14:paraId="26787C4D" w14:textId="71EB8575" w:rsidR="0024601B"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310-20-40-4?</w:t>
      </w:r>
    </w:p>
    <w:p w14:paraId="768D5316" w14:textId="1DFBCE2F"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310-20-40-5</w:t>
      </w:r>
    </w:p>
    <w:p w14:paraId="67774F48" w14:textId="074777A6"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310-20-40-5?</w:t>
      </w:r>
    </w:p>
    <w:p w14:paraId="089F34B7" w14:textId="738DB33B"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310-20-40-6</w:t>
      </w:r>
    </w:p>
    <w:p w14:paraId="42BF1BA4" w14:textId="66A07BC2"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310-20-40-6?</w:t>
      </w:r>
    </w:p>
    <w:p w14:paraId="3598F577" w14:textId="13E58ADC"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310-20-40-7</w:t>
      </w:r>
    </w:p>
    <w:p w14:paraId="71C4EA7C" w14:textId="0D50B7F8"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310-20-40-7?</w:t>
      </w:r>
    </w:p>
    <w:p w14:paraId="1C198A07" w14:textId="4F41A771"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310-20-40-8</w:t>
      </w:r>
    </w:p>
    <w:p w14:paraId="34D289FC" w14:textId="766937A4"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310-20-40-8?</w:t>
      </w:r>
    </w:p>
    <w:p w14:paraId="2862D954" w14:textId="2B48B1DB"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310-20-40-9</w:t>
      </w:r>
    </w:p>
    <w:p w14:paraId="7D841B53" w14:textId="19189056"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310-20-40-9?</w:t>
      </w:r>
    </w:p>
    <w:p w14:paraId="1CF1E254" w14:textId="7753D88B"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310-20-40-10</w:t>
      </w:r>
    </w:p>
    <w:p w14:paraId="6F647DD5" w14:textId="7458CE58"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310-20-40-10?</w:t>
      </w:r>
    </w:p>
    <w:p w14:paraId="60E9195F" w14:textId="3A30AC78" w:rsidR="006B347F" w:rsidRPr="006D046D" w:rsidRDefault="006B347F" w:rsidP="008716A5">
      <w:pPr>
        <w:keepNext/>
        <w:spacing w:after="120" w:line="240" w:lineRule="auto"/>
        <w:rPr>
          <w:rFonts w:asciiTheme="majorHAnsi" w:hAnsiTheme="majorHAnsi" w:cstheme="majorHAnsi"/>
          <w:b/>
          <w:bCs/>
          <w:lang w:val="en-GB"/>
        </w:rPr>
      </w:pPr>
      <w:r w:rsidRPr="006D046D">
        <w:rPr>
          <w:rFonts w:asciiTheme="majorHAnsi" w:hAnsiTheme="majorHAnsi" w:cstheme="majorHAnsi"/>
          <w:b/>
          <w:bCs/>
          <w:lang w:val="en-GB"/>
        </w:rPr>
        <w:lastRenderedPageBreak/>
        <w:t>310-20-40-11</w:t>
      </w:r>
    </w:p>
    <w:p w14:paraId="29336F96" w14:textId="538C751A" w:rsidR="006B347F"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310-20-40-11?</w:t>
      </w:r>
    </w:p>
    <w:p w14:paraId="57AB25D6" w14:textId="7AC610A4" w:rsidR="006B347F" w:rsidRPr="006D046D" w:rsidRDefault="006B347F"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310-20-40-12</w:t>
      </w:r>
    </w:p>
    <w:p w14:paraId="4BFFA2F0" w14:textId="4F3E6711" w:rsidR="006B347F" w:rsidRPr="006D046D" w:rsidRDefault="0024601B" w:rsidP="00FB7C1C">
      <w:pPr>
        <w:tabs>
          <w:tab w:val="left" w:pos="6725"/>
        </w:tabs>
        <w:spacing w:after="24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Is the entity in compliance with the guidance in ASC 310-20-40-</w:t>
      </w:r>
      <w:r w:rsidR="00943BCA">
        <w:rPr>
          <w:rFonts w:asciiTheme="majorHAnsi" w:hAnsiTheme="majorHAnsi" w:cstheme="majorHAnsi"/>
          <w:color w:val="000000"/>
          <w:shd w:val="clear" w:color="auto" w:fill="FFFFFF"/>
        </w:rPr>
        <w:t>1</w:t>
      </w:r>
      <w:r w:rsidRPr="006D046D">
        <w:rPr>
          <w:rFonts w:asciiTheme="majorHAnsi" w:hAnsiTheme="majorHAnsi" w:cstheme="majorHAnsi"/>
          <w:color w:val="000000"/>
          <w:shd w:val="clear" w:color="auto" w:fill="FFFFFF"/>
        </w:rPr>
        <w:t>2?</w:t>
      </w:r>
    </w:p>
    <w:p w14:paraId="1014596F" w14:textId="1AE4822E" w:rsidR="006C6CF8" w:rsidRPr="006D046D" w:rsidRDefault="006C6CF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360-10-35-41</w:t>
      </w:r>
    </w:p>
    <w:p w14:paraId="0943DA7E" w14:textId="51706A3F" w:rsidR="006C6CF8"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360-10-35</w:t>
      </w:r>
      <w:r w:rsidR="00943BCA">
        <w:rPr>
          <w:rFonts w:asciiTheme="majorHAnsi" w:hAnsiTheme="majorHAnsi" w:cstheme="majorHAnsi"/>
          <w:color w:val="000000"/>
          <w:shd w:val="clear" w:color="auto" w:fill="FFFFFF"/>
        </w:rPr>
        <w:t>,</w:t>
      </w:r>
      <w:r w:rsidRPr="006D046D">
        <w:rPr>
          <w:rFonts w:asciiTheme="majorHAnsi" w:hAnsiTheme="majorHAnsi" w:cstheme="majorHAnsi"/>
          <w:color w:val="000000"/>
          <w:shd w:val="clear" w:color="auto" w:fill="FFFFFF"/>
        </w:rPr>
        <w:t xml:space="preserve"> </w:t>
      </w:r>
      <w:r w:rsidRPr="004A2831">
        <w:rPr>
          <w:rFonts w:asciiTheme="majorHAnsi" w:hAnsiTheme="majorHAnsi" w:cstheme="majorHAnsi"/>
          <w:color w:val="000000"/>
          <w:shd w:val="clear" w:color="auto" w:fill="FFFFFF"/>
        </w:rPr>
        <w:t>Measurement of Expected Disposal Loss or Gain</w:t>
      </w:r>
      <w:r w:rsidRPr="006D046D">
        <w:rPr>
          <w:rFonts w:asciiTheme="majorHAnsi" w:hAnsiTheme="majorHAnsi" w:cstheme="majorHAnsi"/>
          <w:color w:val="000000"/>
          <w:shd w:val="clear" w:color="auto" w:fill="FFFFFF"/>
        </w:rPr>
        <w:t>?</w:t>
      </w:r>
    </w:p>
    <w:p w14:paraId="7E8B2EEA" w14:textId="602F7B17" w:rsidR="006C6CF8" w:rsidRPr="006D046D" w:rsidRDefault="006C6CF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326-20-50-6</w:t>
      </w:r>
    </w:p>
    <w:p w14:paraId="04F69F65" w14:textId="4734315B" w:rsidR="006C6CF8"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326-20-50-6?</w:t>
      </w:r>
    </w:p>
    <w:p w14:paraId="0AA8A067" w14:textId="3566C76E" w:rsidR="00B57B6B" w:rsidRPr="006D046D" w:rsidRDefault="00B57B6B"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326-20-50-6A</w:t>
      </w:r>
    </w:p>
    <w:p w14:paraId="7B446A22" w14:textId="2EECA317" w:rsidR="00B57B6B" w:rsidRPr="006D046D" w:rsidRDefault="0024601B" w:rsidP="00FB7C1C">
      <w:pPr>
        <w:tabs>
          <w:tab w:val="left" w:pos="6725"/>
        </w:tabs>
        <w:spacing w:after="240" w:line="240" w:lineRule="auto"/>
        <w:rPr>
          <w:rFonts w:asciiTheme="majorHAnsi" w:hAnsiTheme="majorHAnsi" w:cstheme="majorHAnsi"/>
          <w:b/>
          <w:bCs/>
          <w:lang w:val="en-GB"/>
        </w:rPr>
      </w:pPr>
      <w:r w:rsidRPr="006D046D">
        <w:rPr>
          <w:rFonts w:asciiTheme="majorHAnsi" w:hAnsiTheme="majorHAnsi" w:cstheme="majorHAnsi"/>
          <w:color w:val="000000"/>
          <w:shd w:val="clear" w:color="auto" w:fill="FFFFFF"/>
        </w:rPr>
        <w:t>Is the entity in compliance with the guidance in ASC 326-20-50-</w:t>
      </w:r>
      <w:r w:rsidR="00CE296A" w:rsidRPr="006D046D">
        <w:rPr>
          <w:rFonts w:asciiTheme="majorHAnsi" w:hAnsiTheme="majorHAnsi" w:cstheme="majorHAnsi"/>
          <w:color w:val="000000"/>
          <w:shd w:val="clear" w:color="auto" w:fill="FFFFFF"/>
        </w:rPr>
        <w:t>6A?</w:t>
      </w:r>
    </w:p>
    <w:p w14:paraId="37D902EE" w14:textId="1470E848" w:rsidR="006C6CF8" w:rsidRPr="006D046D" w:rsidRDefault="006C6CF8" w:rsidP="00194E0F">
      <w:pPr>
        <w:spacing w:after="120" w:line="240" w:lineRule="auto"/>
        <w:rPr>
          <w:rFonts w:asciiTheme="majorHAnsi" w:hAnsiTheme="majorHAnsi" w:cstheme="majorHAnsi"/>
          <w:b/>
          <w:bCs/>
          <w:lang w:val="en-GB"/>
        </w:rPr>
      </w:pPr>
      <w:r w:rsidRPr="006D046D">
        <w:rPr>
          <w:rFonts w:asciiTheme="majorHAnsi" w:hAnsiTheme="majorHAnsi" w:cstheme="majorHAnsi"/>
          <w:b/>
          <w:bCs/>
          <w:lang w:val="en-GB"/>
        </w:rPr>
        <w:t>326-20-50-7</w:t>
      </w:r>
    </w:p>
    <w:bookmarkEnd w:id="4"/>
    <w:p w14:paraId="6A39222F" w14:textId="10EEB4EA" w:rsidR="006C6CF8" w:rsidRPr="006D046D" w:rsidRDefault="0024601B" w:rsidP="00194E0F">
      <w:pPr>
        <w:spacing w:after="120" w:line="240" w:lineRule="auto"/>
        <w:rPr>
          <w:rFonts w:asciiTheme="majorHAnsi" w:hAnsiTheme="majorHAnsi" w:cstheme="majorHAnsi"/>
          <w:lang w:val="en-GB"/>
        </w:rPr>
      </w:pPr>
      <w:r w:rsidRPr="006D046D">
        <w:rPr>
          <w:rFonts w:asciiTheme="majorHAnsi" w:hAnsiTheme="majorHAnsi" w:cstheme="majorHAnsi"/>
          <w:color w:val="000000"/>
          <w:shd w:val="clear" w:color="auto" w:fill="FFFFFF"/>
        </w:rPr>
        <w:t xml:space="preserve">For all line-of-credit arrangements that have been converted to term loans, has the entity included a separate column to reflect the amortized cost basis for these conversions in its </w:t>
      </w:r>
      <w:r w:rsidR="000C4F74">
        <w:rPr>
          <w:rFonts w:asciiTheme="majorHAnsi" w:hAnsiTheme="majorHAnsi" w:cstheme="majorHAnsi"/>
          <w:color w:val="000000"/>
          <w:shd w:val="clear" w:color="auto" w:fill="FFFFFF"/>
        </w:rPr>
        <w:t>v</w:t>
      </w:r>
      <w:r w:rsidRPr="006D046D">
        <w:rPr>
          <w:rFonts w:asciiTheme="majorHAnsi" w:hAnsiTheme="majorHAnsi" w:cstheme="majorHAnsi"/>
          <w:color w:val="000000"/>
          <w:shd w:val="clear" w:color="auto" w:fill="FFFFFF"/>
        </w:rPr>
        <w:t xml:space="preserve">intage </w:t>
      </w:r>
      <w:r w:rsidR="000C4F74">
        <w:rPr>
          <w:rFonts w:asciiTheme="majorHAnsi" w:hAnsiTheme="majorHAnsi" w:cstheme="majorHAnsi"/>
          <w:color w:val="000000"/>
          <w:shd w:val="clear" w:color="auto" w:fill="FFFFFF"/>
        </w:rPr>
        <w:t>d</w:t>
      </w:r>
      <w:r w:rsidRPr="006D046D">
        <w:rPr>
          <w:rFonts w:asciiTheme="majorHAnsi" w:hAnsiTheme="majorHAnsi" w:cstheme="majorHAnsi"/>
          <w:color w:val="000000"/>
          <w:shd w:val="clear" w:color="auto" w:fill="FFFFFF"/>
        </w:rPr>
        <w:t>isclosures?</w:t>
      </w:r>
    </w:p>
    <w:p w14:paraId="5A0A39D9" w14:textId="77777777" w:rsidR="00194E0F" w:rsidRDefault="00194E0F">
      <w:pPr>
        <w:rPr>
          <w:rFonts w:ascii="Calibri Light" w:hAnsi="Calibri Light" w:cs="Calibri Light"/>
          <w:b/>
          <w:sz w:val="16"/>
          <w:szCs w:val="16"/>
        </w:rPr>
      </w:pPr>
      <w:r>
        <w:rPr>
          <w:rFonts w:ascii="Calibri Light" w:hAnsi="Calibri Light" w:cs="Calibri Light"/>
          <w:b/>
          <w:sz w:val="16"/>
          <w:szCs w:val="16"/>
        </w:rPr>
        <w:br w:type="page"/>
      </w:r>
    </w:p>
    <w:p w14:paraId="52074090" w14:textId="52B47B75" w:rsidR="00194E0F" w:rsidRDefault="00194E0F" w:rsidP="00194E0F">
      <w:pPr>
        <w:spacing w:line="180" w:lineRule="atLeast"/>
        <w:ind w:right="5386"/>
        <w:rPr>
          <w:rFonts w:ascii="Calibri Light" w:hAnsi="Calibri Light" w:cs="Calibri Light"/>
          <w:b/>
          <w:sz w:val="16"/>
          <w:szCs w:val="16"/>
        </w:rPr>
      </w:pPr>
    </w:p>
    <w:p w14:paraId="70F12B31" w14:textId="6F12E205" w:rsidR="00194E0F" w:rsidRDefault="00194E0F" w:rsidP="00194E0F">
      <w:pPr>
        <w:spacing w:line="180" w:lineRule="atLeast"/>
        <w:ind w:right="5386"/>
        <w:rPr>
          <w:rFonts w:ascii="Calibri Light" w:hAnsi="Calibri Light" w:cs="Calibri Light"/>
          <w:b/>
          <w:sz w:val="16"/>
          <w:szCs w:val="16"/>
        </w:rPr>
      </w:pPr>
    </w:p>
    <w:p w14:paraId="4275D752" w14:textId="3DD24838" w:rsidR="00194E0F" w:rsidRDefault="00194E0F" w:rsidP="00194E0F">
      <w:pPr>
        <w:spacing w:line="180" w:lineRule="atLeast"/>
        <w:ind w:right="5386"/>
        <w:rPr>
          <w:rFonts w:ascii="Calibri Light" w:hAnsi="Calibri Light" w:cs="Calibri Light"/>
          <w:b/>
          <w:sz w:val="16"/>
          <w:szCs w:val="16"/>
        </w:rPr>
      </w:pPr>
    </w:p>
    <w:p w14:paraId="4729679B" w14:textId="1A78884B" w:rsidR="00194E0F" w:rsidRDefault="00194E0F" w:rsidP="00194E0F">
      <w:pPr>
        <w:spacing w:line="180" w:lineRule="atLeast"/>
        <w:ind w:right="5386"/>
        <w:rPr>
          <w:rFonts w:ascii="Calibri Light" w:hAnsi="Calibri Light" w:cs="Calibri Light"/>
          <w:b/>
          <w:sz w:val="16"/>
          <w:szCs w:val="16"/>
        </w:rPr>
      </w:pPr>
    </w:p>
    <w:p w14:paraId="1D1156B4" w14:textId="3D37E65F" w:rsidR="00194E0F" w:rsidRDefault="00194E0F" w:rsidP="00194E0F">
      <w:pPr>
        <w:spacing w:line="180" w:lineRule="atLeast"/>
        <w:ind w:right="5386"/>
        <w:rPr>
          <w:rFonts w:ascii="Calibri Light" w:hAnsi="Calibri Light" w:cs="Calibri Light"/>
          <w:b/>
          <w:sz w:val="16"/>
          <w:szCs w:val="16"/>
        </w:rPr>
      </w:pPr>
    </w:p>
    <w:p w14:paraId="248DA015" w14:textId="684309BD" w:rsidR="00194E0F" w:rsidRDefault="00194E0F" w:rsidP="00194E0F">
      <w:pPr>
        <w:spacing w:line="180" w:lineRule="atLeast"/>
        <w:ind w:right="5386"/>
        <w:rPr>
          <w:rFonts w:ascii="Calibri Light" w:hAnsi="Calibri Light" w:cs="Calibri Light"/>
          <w:b/>
          <w:sz w:val="16"/>
          <w:szCs w:val="16"/>
        </w:rPr>
      </w:pPr>
    </w:p>
    <w:p w14:paraId="6ED975C4" w14:textId="2787E5CD" w:rsidR="00194E0F" w:rsidRDefault="00194E0F" w:rsidP="00194E0F">
      <w:pPr>
        <w:spacing w:line="180" w:lineRule="atLeast"/>
        <w:ind w:right="5386"/>
        <w:rPr>
          <w:rFonts w:ascii="Calibri Light" w:hAnsi="Calibri Light" w:cs="Calibri Light"/>
          <w:b/>
          <w:sz w:val="16"/>
          <w:szCs w:val="16"/>
        </w:rPr>
      </w:pPr>
    </w:p>
    <w:p w14:paraId="2387BE38" w14:textId="29992E88" w:rsidR="00194E0F" w:rsidRDefault="00194E0F" w:rsidP="00194E0F">
      <w:pPr>
        <w:spacing w:line="180" w:lineRule="atLeast"/>
        <w:ind w:right="5386"/>
        <w:rPr>
          <w:rFonts w:ascii="Calibri Light" w:hAnsi="Calibri Light" w:cs="Calibri Light"/>
          <w:b/>
          <w:sz w:val="16"/>
          <w:szCs w:val="16"/>
        </w:rPr>
      </w:pPr>
    </w:p>
    <w:p w14:paraId="749AD61E" w14:textId="73153E5F" w:rsidR="00194E0F" w:rsidRDefault="00194E0F" w:rsidP="00194E0F">
      <w:pPr>
        <w:spacing w:line="180" w:lineRule="atLeast"/>
        <w:ind w:right="5386"/>
        <w:rPr>
          <w:rFonts w:ascii="Calibri Light" w:hAnsi="Calibri Light" w:cs="Calibri Light"/>
          <w:b/>
          <w:sz w:val="16"/>
          <w:szCs w:val="16"/>
        </w:rPr>
      </w:pPr>
    </w:p>
    <w:p w14:paraId="1106BDEC" w14:textId="4AB0C081" w:rsidR="00194E0F" w:rsidRDefault="00194E0F" w:rsidP="00194E0F">
      <w:pPr>
        <w:spacing w:line="180" w:lineRule="atLeast"/>
        <w:ind w:right="5386"/>
        <w:rPr>
          <w:rFonts w:ascii="Calibri Light" w:hAnsi="Calibri Light" w:cs="Calibri Light"/>
          <w:b/>
          <w:sz w:val="16"/>
          <w:szCs w:val="16"/>
        </w:rPr>
      </w:pPr>
    </w:p>
    <w:p w14:paraId="79D5F06C" w14:textId="1F755E17" w:rsidR="00194E0F" w:rsidRDefault="00194E0F" w:rsidP="00194E0F">
      <w:pPr>
        <w:spacing w:line="180" w:lineRule="atLeast"/>
        <w:ind w:right="5386"/>
        <w:rPr>
          <w:rFonts w:ascii="Calibri Light" w:hAnsi="Calibri Light" w:cs="Calibri Light"/>
          <w:b/>
          <w:sz w:val="16"/>
          <w:szCs w:val="16"/>
        </w:rPr>
      </w:pPr>
    </w:p>
    <w:p w14:paraId="74A75FC2" w14:textId="541199A6" w:rsidR="00194E0F" w:rsidRDefault="00194E0F" w:rsidP="00194E0F">
      <w:pPr>
        <w:spacing w:line="180" w:lineRule="atLeast"/>
        <w:ind w:right="5386"/>
        <w:rPr>
          <w:rFonts w:ascii="Calibri Light" w:hAnsi="Calibri Light" w:cs="Calibri Light"/>
          <w:b/>
          <w:sz w:val="16"/>
          <w:szCs w:val="16"/>
        </w:rPr>
      </w:pPr>
    </w:p>
    <w:p w14:paraId="42405F07" w14:textId="3A8A74B2" w:rsidR="00194E0F" w:rsidRDefault="00194E0F" w:rsidP="00194E0F">
      <w:pPr>
        <w:spacing w:line="180" w:lineRule="atLeast"/>
        <w:ind w:right="5386"/>
        <w:rPr>
          <w:rFonts w:ascii="Calibri Light" w:hAnsi="Calibri Light" w:cs="Calibri Light"/>
          <w:b/>
          <w:sz w:val="16"/>
          <w:szCs w:val="16"/>
        </w:rPr>
      </w:pPr>
    </w:p>
    <w:p w14:paraId="6CABB2BE" w14:textId="11F51A50" w:rsidR="00194E0F" w:rsidRDefault="00194E0F" w:rsidP="00194E0F">
      <w:pPr>
        <w:spacing w:line="180" w:lineRule="atLeast"/>
        <w:ind w:right="5386"/>
        <w:rPr>
          <w:rFonts w:ascii="Calibri Light" w:hAnsi="Calibri Light" w:cs="Calibri Light"/>
          <w:b/>
          <w:sz w:val="16"/>
          <w:szCs w:val="16"/>
        </w:rPr>
      </w:pPr>
    </w:p>
    <w:p w14:paraId="02FF2923" w14:textId="11D9CE6D" w:rsidR="00194E0F" w:rsidRDefault="00194E0F" w:rsidP="00194E0F">
      <w:pPr>
        <w:spacing w:line="180" w:lineRule="atLeast"/>
        <w:ind w:right="5386"/>
        <w:rPr>
          <w:rFonts w:ascii="Calibri Light" w:hAnsi="Calibri Light" w:cs="Calibri Light"/>
          <w:b/>
          <w:sz w:val="16"/>
          <w:szCs w:val="16"/>
        </w:rPr>
      </w:pPr>
    </w:p>
    <w:p w14:paraId="6BD0F39B" w14:textId="4A1E6124" w:rsidR="00194E0F" w:rsidRDefault="00194E0F" w:rsidP="00194E0F">
      <w:pPr>
        <w:spacing w:line="180" w:lineRule="atLeast"/>
        <w:ind w:right="5386"/>
        <w:rPr>
          <w:rFonts w:ascii="Calibri Light" w:hAnsi="Calibri Light" w:cs="Calibri Light"/>
          <w:b/>
          <w:sz w:val="16"/>
          <w:szCs w:val="16"/>
        </w:rPr>
      </w:pPr>
    </w:p>
    <w:p w14:paraId="0A818835" w14:textId="265322D6" w:rsidR="00194E0F" w:rsidRDefault="00194E0F" w:rsidP="00194E0F">
      <w:pPr>
        <w:spacing w:line="180" w:lineRule="atLeast"/>
        <w:ind w:right="5386"/>
        <w:rPr>
          <w:rFonts w:ascii="Calibri Light" w:hAnsi="Calibri Light" w:cs="Calibri Light"/>
          <w:b/>
          <w:sz w:val="16"/>
          <w:szCs w:val="16"/>
        </w:rPr>
      </w:pPr>
    </w:p>
    <w:p w14:paraId="5E6C2D74" w14:textId="7718A071" w:rsidR="00194E0F" w:rsidRDefault="00194E0F" w:rsidP="00194E0F">
      <w:pPr>
        <w:spacing w:line="180" w:lineRule="atLeast"/>
        <w:ind w:right="5386"/>
        <w:rPr>
          <w:rFonts w:ascii="Calibri Light" w:hAnsi="Calibri Light" w:cs="Calibri Light"/>
          <w:b/>
          <w:sz w:val="16"/>
          <w:szCs w:val="16"/>
        </w:rPr>
      </w:pPr>
    </w:p>
    <w:p w14:paraId="06CFFF13" w14:textId="74791E4B" w:rsidR="00194E0F" w:rsidRDefault="00194E0F" w:rsidP="00194E0F">
      <w:pPr>
        <w:spacing w:line="180" w:lineRule="atLeast"/>
        <w:ind w:right="5386"/>
        <w:rPr>
          <w:rFonts w:ascii="Calibri Light" w:hAnsi="Calibri Light" w:cs="Calibri Light"/>
          <w:b/>
          <w:sz w:val="16"/>
          <w:szCs w:val="16"/>
        </w:rPr>
      </w:pPr>
    </w:p>
    <w:p w14:paraId="658C0B65" w14:textId="489E0E1D" w:rsidR="00194E0F" w:rsidRDefault="00194E0F" w:rsidP="00194E0F">
      <w:pPr>
        <w:spacing w:line="180" w:lineRule="atLeast"/>
        <w:ind w:right="5386"/>
        <w:rPr>
          <w:rFonts w:ascii="Calibri Light" w:hAnsi="Calibri Light" w:cs="Calibri Light"/>
          <w:b/>
          <w:sz w:val="16"/>
          <w:szCs w:val="16"/>
        </w:rPr>
      </w:pPr>
    </w:p>
    <w:p w14:paraId="72904201" w14:textId="2341078B" w:rsidR="00194E0F" w:rsidRDefault="00194E0F" w:rsidP="00194E0F">
      <w:pPr>
        <w:spacing w:line="180" w:lineRule="atLeast"/>
        <w:ind w:right="5386"/>
        <w:rPr>
          <w:rFonts w:ascii="Calibri Light" w:hAnsi="Calibri Light" w:cs="Calibri Light"/>
          <w:b/>
          <w:sz w:val="16"/>
          <w:szCs w:val="16"/>
        </w:rPr>
      </w:pPr>
    </w:p>
    <w:p w14:paraId="10CB179F" w14:textId="5A55E41C" w:rsidR="00194E0F" w:rsidRDefault="00194E0F" w:rsidP="00194E0F">
      <w:pPr>
        <w:spacing w:line="180" w:lineRule="atLeast"/>
        <w:ind w:right="5386"/>
        <w:rPr>
          <w:rFonts w:ascii="Calibri Light" w:hAnsi="Calibri Light" w:cs="Calibri Light"/>
          <w:b/>
          <w:sz w:val="16"/>
          <w:szCs w:val="16"/>
        </w:rPr>
      </w:pPr>
    </w:p>
    <w:p w14:paraId="2C1CEC9A" w14:textId="6CAD8F08" w:rsidR="00194E0F" w:rsidRDefault="00194E0F" w:rsidP="00194E0F">
      <w:pPr>
        <w:spacing w:line="180" w:lineRule="atLeast"/>
        <w:ind w:right="5386"/>
        <w:rPr>
          <w:rFonts w:ascii="Calibri Light" w:hAnsi="Calibri Light" w:cs="Calibri Light"/>
          <w:b/>
          <w:sz w:val="16"/>
          <w:szCs w:val="16"/>
        </w:rPr>
      </w:pPr>
    </w:p>
    <w:p w14:paraId="595523DC" w14:textId="324D95CD" w:rsidR="00194E0F" w:rsidRDefault="00194E0F" w:rsidP="00194E0F">
      <w:pPr>
        <w:spacing w:line="180" w:lineRule="atLeast"/>
        <w:ind w:right="5386"/>
        <w:rPr>
          <w:rFonts w:ascii="Calibri Light" w:hAnsi="Calibri Light" w:cs="Calibri Light"/>
          <w:b/>
          <w:sz w:val="16"/>
          <w:szCs w:val="16"/>
        </w:rPr>
      </w:pPr>
    </w:p>
    <w:p w14:paraId="65789C02" w14:textId="2DF04E09" w:rsidR="00194E0F" w:rsidRDefault="00194E0F" w:rsidP="00194E0F">
      <w:pPr>
        <w:spacing w:line="180" w:lineRule="atLeast"/>
        <w:ind w:right="5386"/>
        <w:rPr>
          <w:rFonts w:ascii="Calibri Light" w:hAnsi="Calibri Light" w:cs="Calibri Light"/>
          <w:b/>
          <w:sz w:val="16"/>
          <w:szCs w:val="16"/>
        </w:rPr>
      </w:pPr>
    </w:p>
    <w:p w14:paraId="76EE84E9" w14:textId="77777777" w:rsidR="00194E0F" w:rsidRDefault="00194E0F" w:rsidP="00194E0F">
      <w:pPr>
        <w:spacing w:line="180" w:lineRule="atLeast"/>
        <w:ind w:right="5386"/>
        <w:rPr>
          <w:rFonts w:ascii="Calibri Light" w:hAnsi="Calibri Light" w:cs="Calibri Light"/>
          <w:b/>
          <w:sz w:val="16"/>
          <w:szCs w:val="16"/>
        </w:rPr>
      </w:pPr>
    </w:p>
    <w:p w14:paraId="7B44C6E0" w14:textId="77777777" w:rsidR="00194E0F" w:rsidRDefault="00194E0F" w:rsidP="00194E0F">
      <w:pPr>
        <w:spacing w:line="180" w:lineRule="atLeast"/>
        <w:ind w:right="5386"/>
        <w:rPr>
          <w:rFonts w:ascii="Calibri Light" w:hAnsi="Calibri Light" w:cs="Calibri Light"/>
          <w:b/>
          <w:sz w:val="16"/>
          <w:szCs w:val="16"/>
        </w:rPr>
      </w:pPr>
      <w:r w:rsidRPr="00493116">
        <w:rPr>
          <w:rFonts w:ascii="Calibri Light" w:hAnsi="Calibri Light" w:cs="Calibri Light"/>
          <w:noProof/>
          <w:sz w:val="20"/>
          <w:szCs w:val="20"/>
        </w:rPr>
        <w:drawing>
          <wp:anchor distT="0" distB="0" distL="114300" distR="114300" simplePos="0" relativeHeight="251659264" behindDoc="1" locked="0" layoutInCell="1" allowOverlap="1" wp14:anchorId="3A0A6D07" wp14:editId="3D05683B">
            <wp:simplePos x="0" y="0"/>
            <wp:positionH relativeFrom="margin">
              <wp:align>left</wp:align>
            </wp:positionH>
            <wp:positionV relativeFrom="paragraph">
              <wp:posOffset>4179</wp:posOffset>
            </wp:positionV>
            <wp:extent cx="1828800" cy="351790"/>
            <wp:effectExtent l="0" t="0" r="0" b="0"/>
            <wp:wrapTight wrapText="bothSides">
              <wp:wrapPolygon edited="0">
                <wp:start x="0" y="0"/>
                <wp:lineTo x="0" y="19884"/>
                <wp:lineTo x="21375" y="19884"/>
                <wp:lineTo x="21375" y="7018"/>
                <wp:lineTo x="168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anchor>
        </w:drawing>
      </w:r>
    </w:p>
    <w:p w14:paraId="188E752A" w14:textId="77777777" w:rsidR="00194E0F" w:rsidRDefault="00194E0F" w:rsidP="00194E0F">
      <w:pPr>
        <w:spacing w:line="180" w:lineRule="atLeast"/>
        <w:ind w:right="5386"/>
        <w:rPr>
          <w:rFonts w:ascii="Calibri Light" w:hAnsi="Calibri Light" w:cs="Calibri Light"/>
          <w:b/>
          <w:sz w:val="16"/>
          <w:szCs w:val="16"/>
        </w:rPr>
      </w:pPr>
    </w:p>
    <w:p w14:paraId="2C31946A" w14:textId="77777777" w:rsidR="00194E0F" w:rsidRPr="005A24CC" w:rsidRDefault="00194E0F" w:rsidP="00194E0F">
      <w:pPr>
        <w:spacing w:line="180" w:lineRule="atLeast"/>
        <w:ind w:right="5386"/>
        <w:rPr>
          <w:rFonts w:ascii="Calibri Light" w:hAnsi="Calibri Light" w:cs="Calibri Light"/>
          <w:b/>
          <w:sz w:val="16"/>
          <w:szCs w:val="16"/>
        </w:rPr>
      </w:pPr>
      <w:r w:rsidRPr="005A24CC">
        <w:rPr>
          <w:rFonts w:ascii="Calibri Light" w:hAnsi="Calibri Light" w:cs="Calibri Light"/>
          <w:b/>
          <w:sz w:val="16"/>
          <w:szCs w:val="16"/>
        </w:rPr>
        <w:t>About Deloitte</w:t>
      </w:r>
    </w:p>
    <w:p w14:paraId="05177D47" w14:textId="77777777" w:rsidR="00194E0F" w:rsidRPr="005A24CC" w:rsidRDefault="00194E0F" w:rsidP="00194E0F">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15" w:history="1">
        <w:r w:rsidRPr="005A24CC">
          <w:rPr>
            <w:rStyle w:val="Hyperlink"/>
            <w:rFonts w:ascii="Calibri Light" w:eastAsia="Verdana" w:hAnsi="Calibri Light" w:cs="Calibri Light"/>
            <w:sz w:val="16"/>
            <w:szCs w:val="16"/>
          </w:rPr>
          <w:t>www.deloitte.com/about</w:t>
        </w:r>
      </w:hyperlink>
      <w:r w:rsidRPr="005A24CC">
        <w:rPr>
          <w:rFonts w:ascii="Calibri Light" w:hAnsi="Calibri Light" w:cs="Calibri Light"/>
          <w:sz w:val="16"/>
          <w:szCs w:val="16"/>
        </w:rPr>
        <w:t xml:space="preserve"> to learn more about our global network of member firms.</w:t>
      </w:r>
    </w:p>
    <w:p w14:paraId="712DCD4E" w14:textId="77777777" w:rsidR="00194E0F" w:rsidRPr="005A24CC" w:rsidRDefault="00194E0F" w:rsidP="00194E0F">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Copyright © 202</w:t>
      </w:r>
      <w:r>
        <w:rPr>
          <w:rFonts w:ascii="Calibri Light" w:hAnsi="Calibri Light" w:cs="Calibri Light"/>
          <w:sz w:val="16"/>
          <w:szCs w:val="16"/>
        </w:rPr>
        <w:t>4</w:t>
      </w:r>
      <w:r w:rsidRPr="005A24CC">
        <w:rPr>
          <w:rFonts w:ascii="Calibri Light" w:hAnsi="Calibri Light" w:cs="Calibri Light"/>
          <w:sz w:val="16"/>
          <w:szCs w:val="16"/>
        </w:rPr>
        <w:t xml:space="preserve"> Deloitte Development LLC. All rights reserved.</w:t>
      </w:r>
    </w:p>
    <w:p w14:paraId="7FAD4CB0" w14:textId="2AD9A870" w:rsidR="00194E0F" w:rsidRPr="006C6CF8" w:rsidRDefault="00194E0F" w:rsidP="008716A5">
      <w:pPr>
        <w:pStyle w:val="Legaltext"/>
        <w:ind w:right="2700"/>
        <w:rPr>
          <w:rFonts w:ascii="Verdana" w:hAnsi="Verdana"/>
          <w:b/>
          <w:bCs/>
          <w:sz w:val="18"/>
          <w:szCs w:val="18"/>
        </w:rPr>
      </w:pPr>
      <w:r w:rsidRPr="005A24CC">
        <w:rPr>
          <w:rFonts w:ascii="Calibri Light" w:hAnsi="Calibri Light" w:cs="Calibri Light"/>
          <w:color w:val="000000" w:themeColor="text1"/>
          <w:sz w:val="16"/>
          <w:szCs w:val="16"/>
          <w:lang w:val="en-US"/>
        </w:rPr>
        <w:t>Member of Deloitte Touche Tohmatsu Limited</w:t>
      </w:r>
    </w:p>
    <w:sectPr w:rsidR="00194E0F" w:rsidRPr="006C6CF8" w:rsidSect="00943BCA">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53FA" w14:textId="77777777" w:rsidR="00860E80" w:rsidRDefault="00860E80" w:rsidP="00FC2FFE">
      <w:pPr>
        <w:spacing w:after="0" w:line="240" w:lineRule="auto"/>
      </w:pPr>
      <w:r>
        <w:separator/>
      </w:r>
    </w:p>
  </w:endnote>
  <w:endnote w:type="continuationSeparator" w:id="0">
    <w:p w14:paraId="2E105F08" w14:textId="77777777" w:rsidR="00860E80" w:rsidRDefault="00860E80" w:rsidP="00FC2FFE">
      <w:pPr>
        <w:spacing w:after="0" w:line="240" w:lineRule="auto"/>
      </w:pPr>
      <w:r>
        <w:continuationSeparator/>
      </w:r>
    </w:p>
  </w:endnote>
  <w:endnote w:type="continuationNotice" w:id="1">
    <w:p w14:paraId="27C71B86" w14:textId="77777777" w:rsidR="00860E80" w:rsidRDefault="00860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Semi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556916"/>
      <w:docPartObj>
        <w:docPartGallery w:val="Page Numbers (Bottom of Page)"/>
        <w:docPartUnique/>
      </w:docPartObj>
    </w:sdtPr>
    <w:sdtEndPr>
      <w:rPr>
        <w:noProof/>
      </w:rPr>
    </w:sdtEndPr>
    <w:sdtContent>
      <w:p w14:paraId="1C0DD7D0" w14:textId="10295D95" w:rsidR="00943BCA" w:rsidRDefault="00943BCA">
        <w:pPr>
          <w:pStyle w:val="Footer"/>
        </w:pPr>
        <w:r>
          <w:fldChar w:fldCharType="begin"/>
        </w:r>
        <w:r>
          <w:instrText xml:space="preserve"> PAGE   \* MERGEFORMAT </w:instrText>
        </w:r>
        <w:r>
          <w:fldChar w:fldCharType="separate"/>
        </w:r>
        <w:r>
          <w:rPr>
            <w:noProof/>
          </w:rPr>
          <w:t>2</w:t>
        </w:r>
        <w:r>
          <w:rPr>
            <w:noProof/>
          </w:rPr>
          <w:fldChar w:fldCharType="end"/>
        </w:r>
      </w:p>
    </w:sdtContent>
  </w:sdt>
  <w:p w14:paraId="14228932" w14:textId="77777777" w:rsidR="00C47F5D" w:rsidRDefault="00C4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7F9A" w14:textId="77777777" w:rsidR="00860E80" w:rsidRDefault="00860E80" w:rsidP="00FC2FFE">
      <w:pPr>
        <w:spacing w:after="0" w:line="240" w:lineRule="auto"/>
      </w:pPr>
      <w:r>
        <w:separator/>
      </w:r>
    </w:p>
  </w:footnote>
  <w:footnote w:type="continuationSeparator" w:id="0">
    <w:p w14:paraId="7981CA30" w14:textId="77777777" w:rsidR="00860E80" w:rsidRDefault="00860E80" w:rsidP="00FC2FFE">
      <w:pPr>
        <w:spacing w:after="0" w:line="240" w:lineRule="auto"/>
      </w:pPr>
      <w:r>
        <w:continuationSeparator/>
      </w:r>
    </w:p>
  </w:footnote>
  <w:footnote w:type="continuationNotice" w:id="1">
    <w:p w14:paraId="5EDC36FC" w14:textId="77777777" w:rsidR="00860E80" w:rsidRDefault="00860E80">
      <w:pPr>
        <w:spacing w:after="0" w:line="240" w:lineRule="auto"/>
      </w:pPr>
    </w:p>
  </w:footnote>
  <w:footnote w:id="2">
    <w:p w14:paraId="6F9E3645" w14:textId="77777777" w:rsidR="0029127B" w:rsidRPr="00E90D62" w:rsidRDefault="0029127B" w:rsidP="0029127B">
      <w:pPr>
        <w:pStyle w:val="FootnoteText"/>
        <w:rPr>
          <w:szCs w:val="16"/>
          <w:lang w:val="en-US"/>
        </w:rPr>
      </w:pPr>
      <w:r w:rsidRPr="00E90D62">
        <w:rPr>
          <w:rStyle w:val="FootnoteReference"/>
          <w:rFonts w:ascii="Calibri Light" w:hAnsi="Calibri Light" w:cs="Calibri Light"/>
          <w:szCs w:val="16"/>
        </w:rPr>
        <w:footnoteRef/>
      </w:r>
      <w:r w:rsidRPr="00E90D62">
        <w:rPr>
          <w:rStyle w:val="FootnoteReference"/>
          <w:rFonts w:ascii="Calibri Light" w:hAnsi="Calibri Light" w:cs="Calibri Light"/>
          <w:szCs w:val="16"/>
        </w:rPr>
        <w:t xml:space="preserve"> </w:t>
      </w:r>
      <w:r w:rsidRPr="00E90D62">
        <w:rPr>
          <w:rStyle w:val="FootnoteReference"/>
          <w:rFonts w:ascii="Calibri Light" w:hAnsi="Calibri Light" w:cs="Calibri Light"/>
          <w:szCs w:val="16"/>
        </w:rPr>
        <w:tab/>
        <w:t>Users complete framing questions within the Checklist in the Deloitte Disclosure Analytics suite to scope Topics and Subtopics into the checklist based on what is applicable for the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ACD8" w14:textId="7CD4AAA0" w:rsidR="00FB7C1C" w:rsidRPr="001F7812" w:rsidRDefault="00FB7C1C" w:rsidP="00FB7C1C">
    <w:pPr>
      <w:pStyle w:val="DeloitteHeaderFooter"/>
      <w:spacing w:after="0"/>
      <w:jc w:val="right"/>
      <w:rPr>
        <w:rFonts w:ascii="Calibri Light" w:hAnsi="Calibri Light" w:cs="Calibri Light"/>
      </w:rPr>
    </w:pPr>
    <w:r>
      <w:rPr>
        <w:rFonts w:ascii="Calibri Light" w:hAnsi="Calibri Light" w:cs="Calibri Light"/>
      </w:rPr>
      <w:t xml:space="preserve">Supplement to the </w:t>
    </w:r>
    <w:r w:rsidRPr="001F7812">
      <w:rPr>
        <w:rFonts w:ascii="Calibri Light" w:hAnsi="Calibri Light" w:cs="Calibri Light"/>
      </w:rPr>
      <w:t xml:space="preserve">U.S. GAAP Checklist Q1 </w:t>
    </w:r>
    <w:r>
      <w:rPr>
        <w:rFonts w:ascii="Calibri Light" w:hAnsi="Calibri Light" w:cs="Calibri Light"/>
      </w:rPr>
      <w:t>- April</w:t>
    </w:r>
    <w:r w:rsidRPr="001F7812">
      <w:rPr>
        <w:rFonts w:ascii="Calibri Light" w:hAnsi="Calibri Light" w:cs="Calibri Light"/>
      </w:rPr>
      <w:t xml:space="preserve"> 202</w:t>
    </w:r>
    <w:r>
      <w:rPr>
        <w:rFonts w:ascii="Calibri Light" w:hAnsi="Calibri Light" w:cs="Calibri Light"/>
      </w:rPr>
      <w:t>4</w:t>
    </w:r>
  </w:p>
  <w:p w14:paraId="08C75BAA" w14:textId="4FECFB45" w:rsidR="00C47F5D" w:rsidRDefault="00C47F5D" w:rsidP="00194E0F">
    <w:pPr>
      <w:pStyle w:val="NormalWeb"/>
      <w:spacing w:before="0" w:beforeAutospacing="0" w:after="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AD9B" w14:textId="27CE3A52" w:rsidR="00943BCA" w:rsidRDefault="00943BCA">
    <w:pPr>
      <w:pStyle w:val="Header"/>
    </w:pPr>
    <w:r w:rsidRPr="007E4C29">
      <w:rPr>
        <w:rFonts w:ascii="Calibri Light" w:hAnsi="Calibri Light" w:cs="Calibri Light"/>
        <w:bCs/>
        <w:noProof/>
        <w:sz w:val="64"/>
        <w:szCs w:val="64"/>
      </w:rPr>
      <w:drawing>
        <wp:anchor distT="0" distB="0" distL="114300" distR="114300" simplePos="0" relativeHeight="251657216" behindDoc="0" locked="1" layoutInCell="1" allowOverlap="1" wp14:anchorId="2DA02692" wp14:editId="73F46D27">
          <wp:simplePos x="0" y="0"/>
          <wp:positionH relativeFrom="page">
            <wp:posOffset>914400</wp:posOffset>
          </wp:positionH>
          <wp:positionV relativeFrom="page">
            <wp:posOffset>457200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4C6"/>
    <w:multiLevelType w:val="hybridMultilevel"/>
    <w:tmpl w:val="1144A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D34A0"/>
    <w:multiLevelType w:val="hybridMultilevel"/>
    <w:tmpl w:val="18EA3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A31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5486F"/>
    <w:multiLevelType w:val="hybridMultilevel"/>
    <w:tmpl w:val="3BF0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52831"/>
    <w:multiLevelType w:val="hybridMultilevel"/>
    <w:tmpl w:val="385EB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A1C9E"/>
    <w:multiLevelType w:val="hybridMultilevel"/>
    <w:tmpl w:val="1144A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8204B"/>
    <w:multiLevelType w:val="hybridMultilevel"/>
    <w:tmpl w:val="3C3633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C1A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B74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3E08B0"/>
    <w:multiLevelType w:val="hybridMultilevel"/>
    <w:tmpl w:val="C6705D8C"/>
    <w:lvl w:ilvl="0" w:tplc="28268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65997"/>
    <w:multiLevelType w:val="hybridMultilevel"/>
    <w:tmpl w:val="6D40CC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CF7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F66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F068B"/>
    <w:multiLevelType w:val="hybridMultilevel"/>
    <w:tmpl w:val="5CA20C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0D1138"/>
    <w:multiLevelType w:val="hybridMultilevel"/>
    <w:tmpl w:val="1144A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62909"/>
    <w:multiLevelType w:val="hybridMultilevel"/>
    <w:tmpl w:val="1166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D016F"/>
    <w:multiLevelType w:val="hybridMultilevel"/>
    <w:tmpl w:val="48123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57A76"/>
    <w:multiLevelType w:val="hybridMultilevel"/>
    <w:tmpl w:val="C7441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37887"/>
    <w:multiLevelType w:val="hybridMultilevel"/>
    <w:tmpl w:val="FECC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019B6"/>
    <w:multiLevelType w:val="hybridMultilevel"/>
    <w:tmpl w:val="0D3A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038F2"/>
    <w:multiLevelType w:val="hybridMultilevel"/>
    <w:tmpl w:val="FECC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047D2"/>
    <w:multiLevelType w:val="hybridMultilevel"/>
    <w:tmpl w:val="2D021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87726"/>
    <w:multiLevelType w:val="hybridMultilevel"/>
    <w:tmpl w:val="91447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E11E7"/>
    <w:multiLevelType w:val="hybridMultilevel"/>
    <w:tmpl w:val="1D2A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D2484"/>
    <w:multiLevelType w:val="hybridMultilevel"/>
    <w:tmpl w:val="1772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612DC9"/>
    <w:multiLevelType w:val="hybridMultilevel"/>
    <w:tmpl w:val="6902F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A2375"/>
    <w:multiLevelType w:val="hybridMultilevel"/>
    <w:tmpl w:val="FB7A1DC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112BF7"/>
    <w:multiLevelType w:val="hybridMultilevel"/>
    <w:tmpl w:val="B5DADF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29" w15:restartNumberingAfterBreak="0">
    <w:nsid w:val="6F5A30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A26101"/>
    <w:multiLevelType w:val="hybridMultilevel"/>
    <w:tmpl w:val="A18A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91AB0"/>
    <w:multiLevelType w:val="hybridMultilevel"/>
    <w:tmpl w:val="FECC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5F367E"/>
    <w:multiLevelType w:val="hybridMultilevel"/>
    <w:tmpl w:val="9656E9A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B96532"/>
    <w:multiLevelType w:val="hybridMultilevel"/>
    <w:tmpl w:val="DD6887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4533C"/>
    <w:multiLevelType w:val="hybridMultilevel"/>
    <w:tmpl w:val="757EE132"/>
    <w:lvl w:ilvl="0" w:tplc="CF5695D6">
      <w:start w:val="1"/>
      <w:numFmt w:val="bullet"/>
      <w:lvlText w:val=""/>
      <w:lvlJc w:val="left"/>
      <w:pPr>
        <w:ind w:left="720" w:hanging="360"/>
      </w:pPr>
      <w:rPr>
        <w:rFonts w:ascii="Symbol" w:hAnsi="Symbol" w:hint="default"/>
        <w:color w:val="auto"/>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34D17"/>
    <w:multiLevelType w:val="hybridMultilevel"/>
    <w:tmpl w:val="B7DA9402"/>
    <w:lvl w:ilvl="0" w:tplc="A98E2B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77664"/>
    <w:multiLevelType w:val="hybridMultilevel"/>
    <w:tmpl w:val="690A0F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941689"/>
    <w:multiLevelType w:val="hybridMultilevel"/>
    <w:tmpl w:val="8496D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AB0F32"/>
    <w:multiLevelType w:val="hybridMultilevel"/>
    <w:tmpl w:val="E9503588"/>
    <w:lvl w:ilvl="0" w:tplc="4690663A">
      <w:start w:val="1"/>
      <w:numFmt w:val="decimal"/>
      <w:lvlText w:val="%1."/>
      <w:lvlJc w:val="left"/>
      <w:pPr>
        <w:ind w:left="720" w:hanging="360"/>
      </w:pPr>
      <w:rPr>
        <w:color w:val="5B9BD5" w:themeColor="accent1"/>
      </w:rPr>
    </w:lvl>
    <w:lvl w:ilvl="1" w:tplc="F5F08A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B217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3381827">
    <w:abstractNumId w:val="34"/>
  </w:num>
  <w:num w:numId="2" w16cid:durableId="1457332914">
    <w:abstractNumId w:val="38"/>
  </w:num>
  <w:num w:numId="3" w16cid:durableId="345600099">
    <w:abstractNumId w:val="12"/>
  </w:num>
  <w:num w:numId="4" w16cid:durableId="416244198">
    <w:abstractNumId w:val="21"/>
  </w:num>
  <w:num w:numId="5" w16cid:durableId="613681435">
    <w:abstractNumId w:val="27"/>
  </w:num>
  <w:num w:numId="6" w16cid:durableId="267125285">
    <w:abstractNumId w:val="1"/>
  </w:num>
  <w:num w:numId="7" w16cid:durableId="110320928">
    <w:abstractNumId w:val="4"/>
  </w:num>
  <w:num w:numId="8" w16cid:durableId="738555960">
    <w:abstractNumId w:val="36"/>
  </w:num>
  <w:num w:numId="9" w16cid:durableId="1366101469">
    <w:abstractNumId w:val="10"/>
  </w:num>
  <w:num w:numId="10" w16cid:durableId="1871988191">
    <w:abstractNumId w:val="13"/>
  </w:num>
  <w:num w:numId="11" w16cid:durableId="1317299010">
    <w:abstractNumId w:val="7"/>
  </w:num>
  <w:num w:numId="12" w16cid:durableId="838933662">
    <w:abstractNumId w:val="8"/>
  </w:num>
  <w:num w:numId="13" w16cid:durableId="214389214">
    <w:abstractNumId w:val="25"/>
  </w:num>
  <w:num w:numId="14" w16cid:durableId="79909127">
    <w:abstractNumId w:val="16"/>
  </w:num>
  <w:num w:numId="15" w16cid:durableId="1172645692">
    <w:abstractNumId w:val="35"/>
  </w:num>
  <w:num w:numId="16" w16cid:durableId="965743994">
    <w:abstractNumId w:val="9"/>
  </w:num>
  <w:num w:numId="17" w16cid:durableId="2139758558">
    <w:abstractNumId w:val="30"/>
  </w:num>
  <w:num w:numId="18" w16cid:durableId="272520992">
    <w:abstractNumId w:val="3"/>
  </w:num>
  <w:num w:numId="19" w16cid:durableId="330958008">
    <w:abstractNumId w:val="19"/>
  </w:num>
  <w:num w:numId="20" w16cid:durableId="331181061">
    <w:abstractNumId w:val="15"/>
  </w:num>
  <w:num w:numId="21" w16cid:durableId="670839304">
    <w:abstractNumId w:val="29"/>
  </w:num>
  <w:num w:numId="22" w16cid:durableId="985430125">
    <w:abstractNumId w:val="11"/>
  </w:num>
  <w:num w:numId="23" w16cid:durableId="223495949">
    <w:abstractNumId w:val="24"/>
  </w:num>
  <w:num w:numId="24" w16cid:durableId="1590968128">
    <w:abstractNumId w:val="39"/>
  </w:num>
  <w:num w:numId="25" w16cid:durableId="1615357099">
    <w:abstractNumId w:val="31"/>
  </w:num>
  <w:num w:numId="26" w16cid:durableId="154029654">
    <w:abstractNumId w:val="0"/>
  </w:num>
  <w:num w:numId="27" w16cid:durableId="354891509">
    <w:abstractNumId w:val="26"/>
  </w:num>
  <w:num w:numId="28" w16cid:durableId="1359618898">
    <w:abstractNumId w:val="32"/>
  </w:num>
  <w:num w:numId="29" w16cid:durableId="461114637">
    <w:abstractNumId w:val="20"/>
  </w:num>
  <w:num w:numId="30" w16cid:durableId="1230076826">
    <w:abstractNumId w:val="5"/>
  </w:num>
  <w:num w:numId="31" w16cid:durableId="1792747152">
    <w:abstractNumId w:val="18"/>
  </w:num>
  <w:num w:numId="32" w16cid:durableId="1103185406">
    <w:abstractNumId w:val="14"/>
  </w:num>
  <w:num w:numId="33" w16cid:durableId="1870680422">
    <w:abstractNumId w:val="2"/>
  </w:num>
  <w:num w:numId="34" w16cid:durableId="1334256209">
    <w:abstractNumId w:val="34"/>
  </w:num>
  <w:num w:numId="35" w16cid:durableId="518668622">
    <w:abstractNumId w:val="35"/>
  </w:num>
  <w:num w:numId="36" w16cid:durableId="1132668981">
    <w:abstractNumId w:val="23"/>
  </w:num>
  <w:num w:numId="37" w16cid:durableId="1775127418">
    <w:abstractNumId w:val="22"/>
  </w:num>
  <w:num w:numId="38" w16cid:durableId="2095125464">
    <w:abstractNumId w:val="37"/>
  </w:num>
  <w:num w:numId="39" w16cid:durableId="15082759">
    <w:abstractNumId w:val="33"/>
  </w:num>
  <w:num w:numId="40" w16cid:durableId="1876841918">
    <w:abstractNumId w:val="6"/>
  </w:num>
  <w:num w:numId="41" w16cid:durableId="1943418956">
    <w:abstractNumId w:val="17"/>
  </w:num>
  <w:num w:numId="42" w16cid:durableId="65896755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3FE"/>
    <w:rsid w:val="00001F19"/>
    <w:rsid w:val="00003763"/>
    <w:rsid w:val="00004660"/>
    <w:rsid w:val="000065EB"/>
    <w:rsid w:val="00007F47"/>
    <w:rsid w:val="000116AB"/>
    <w:rsid w:val="00013197"/>
    <w:rsid w:val="00016BEA"/>
    <w:rsid w:val="00017A53"/>
    <w:rsid w:val="00020A06"/>
    <w:rsid w:val="00022AFA"/>
    <w:rsid w:val="00024054"/>
    <w:rsid w:val="00024E7B"/>
    <w:rsid w:val="0002645E"/>
    <w:rsid w:val="00026BA2"/>
    <w:rsid w:val="000303CA"/>
    <w:rsid w:val="0003070E"/>
    <w:rsid w:val="000307EE"/>
    <w:rsid w:val="00031C43"/>
    <w:rsid w:val="00032AB7"/>
    <w:rsid w:val="00034AD2"/>
    <w:rsid w:val="00036172"/>
    <w:rsid w:val="00036419"/>
    <w:rsid w:val="00037AC8"/>
    <w:rsid w:val="00037C32"/>
    <w:rsid w:val="00040D6D"/>
    <w:rsid w:val="0004665D"/>
    <w:rsid w:val="00046D1C"/>
    <w:rsid w:val="000478D1"/>
    <w:rsid w:val="00050945"/>
    <w:rsid w:val="00050DAD"/>
    <w:rsid w:val="00051F92"/>
    <w:rsid w:val="00052CD2"/>
    <w:rsid w:val="0005520E"/>
    <w:rsid w:val="000556D1"/>
    <w:rsid w:val="00055C50"/>
    <w:rsid w:val="00056AC4"/>
    <w:rsid w:val="00056F22"/>
    <w:rsid w:val="0006040F"/>
    <w:rsid w:val="00060936"/>
    <w:rsid w:val="00061A48"/>
    <w:rsid w:val="00061CB8"/>
    <w:rsid w:val="00062720"/>
    <w:rsid w:val="00062E7C"/>
    <w:rsid w:val="0006341B"/>
    <w:rsid w:val="00063769"/>
    <w:rsid w:val="00063F48"/>
    <w:rsid w:val="00064632"/>
    <w:rsid w:val="00064A61"/>
    <w:rsid w:val="00064AEF"/>
    <w:rsid w:val="00066EFB"/>
    <w:rsid w:val="000670D5"/>
    <w:rsid w:val="000671E8"/>
    <w:rsid w:val="00072316"/>
    <w:rsid w:val="00072A2B"/>
    <w:rsid w:val="00073C26"/>
    <w:rsid w:val="00075646"/>
    <w:rsid w:val="00077281"/>
    <w:rsid w:val="00081610"/>
    <w:rsid w:val="00081DC0"/>
    <w:rsid w:val="00082171"/>
    <w:rsid w:val="00082231"/>
    <w:rsid w:val="000824F9"/>
    <w:rsid w:val="00083D0B"/>
    <w:rsid w:val="000851CC"/>
    <w:rsid w:val="00085D85"/>
    <w:rsid w:val="00090D88"/>
    <w:rsid w:val="000977FA"/>
    <w:rsid w:val="000A2F0C"/>
    <w:rsid w:val="000A56A3"/>
    <w:rsid w:val="000A62C7"/>
    <w:rsid w:val="000B00A2"/>
    <w:rsid w:val="000B00A3"/>
    <w:rsid w:val="000B1498"/>
    <w:rsid w:val="000B3150"/>
    <w:rsid w:val="000B4CD1"/>
    <w:rsid w:val="000B6560"/>
    <w:rsid w:val="000B70EB"/>
    <w:rsid w:val="000B713F"/>
    <w:rsid w:val="000C065A"/>
    <w:rsid w:val="000C1172"/>
    <w:rsid w:val="000C3662"/>
    <w:rsid w:val="000C41D1"/>
    <w:rsid w:val="000C4F74"/>
    <w:rsid w:val="000C71E2"/>
    <w:rsid w:val="000D0418"/>
    <w:rsid w:val="000D0EBE"/>
    <w:rsid w:val="000D28A3"/>
    <w:rsid w:val="000D3A1E"/>
    <w:rsid w:val="000D6F46"/>
    <w:rsid w:val="000D6FE8"/>
    <w:rsid w:val="000D7394"/>
    <w:rsid w:val="000E08AD"/>
    <w:rsid w:val="000E3681"/>
    <w:rsid w:val="000E5BA5"/>
    <w:rsid w:val="000F18B5"/>
    <w:rsid w:val="000F2534"/>
    <w:rsid w:val="000F26B9"/>
    <w:rsid w:val="000F2DD0"/>
    <w:rsid w:val="000F2DF1"/>
    <w:rsid w:val="000F3DB7"/>
    <w:rsid w:val="000F4856"/>
    <w:rsid w:val="000F4BCF"/>
    <w:rsid w:val="000F5FA3"/>
    <w:rsid w:val="000F63EA"/>
    <w:rsid w:val="000F67C3"/>
    <w:rsid w:val="000F6D6A"/>
    <w:rsid w:val="000F74AB"/>
    <w:rsid w:val="000F7C84"/>
    <w:rsid w:val="00102019"/>
    <w:rsid w:val="00102CF4"/>
    <w:rsid w:val="0010501B"/>
    <w:rsid w:val="001059C9"/>
    <w:rsid w:val="00105B43"/>
    <w:rsid w:val="00106850"/>
    <w:rsid w:val="00107FB2"/>
    <w:rsid w:val="00110499"/>
    <w:rsid w:val="0011155F"/>
    <w:rsid w:val="00111E10"/>
    <w:rsid w:val="00111F55"/>
    <w:rsid w:val="001121B1"/>
    <w:rsid w:val="00112272"/>
    <w:rsid w:val="00112320"/>
    <w:rsid w:val="0011320B"/>
    <w:rsid w:val="00115080"/>
    <w:rsid w:val="0011594F"/>
    <w:rsid w:val="0011796D"/>
    <w:rsid w:val="00120F80"/>
    <w:rsid w:val="00123B66"/>
    <w:rsid w:val="0012470B"/>
    <w:rsid w:val="0012519B"/>
    <w:rsid w:val="00125A5B"/>
    <w:rsid w:val="00126279"/>
    <w:rsid w:val="00127ECE"/>
    <w:rsid w:val="00131FAD"/>
    <w:rsid w:val="00132BD2"/>
    <w:rsid w:val="00136CC4"/>
    <w:rsid w:val="00136CEB"/>
    <w:rsid w:val="001374D5"/>
    <w:rsid w:val="001378FA"/>
    <w:rsid w:val="00137A2E"/>
    <w:rsid w:val="001402A2"/>
    <w:rsid w:val="00140E99"/>
    <w:rsid w:val="00145432"/>
    <w:rsid w:val="00153CCD"/>
    <w:rsid w:val="0015537B"/>
    <w:rsid w:val="001555F7"/>
    <w:rsid w:val="00157682"/>
    <w:rsid w:val="00160B3A"/>
    <w:rsid w:val="00161C34"/>
    <w:rsid w:val="00162B3D"/>
    <w:rsid w:val="00163463"/>
    <w:rsid w:val="00164BBE"/>
    <w:rsid w:val="00165545"/>
    <w:rsid w:val="00167279"/>
    <w:rsid w:val="0017055B"/>
    <w:rsid w:val="00172C1C"/>
    <w:rsid w:val="00173080"/>
    <w:rsid w:val="001734BE"/>
    <w:rsid w:val="001756AF"/>
    <w:rsid w:val="00175B9C"/>
    <w:rsid w:val="001765CA"/>
    <w:rsid w:val="00177850"/>
    <w:rsid w:val="001822E7"/>
    <w:rsid w:val="00182C9A"/>
    <w:rsid w:val="00183249"/>
    <w:rsid w:val="001837BB"/>
    <w:rsid w:val="00185136"/>
    <w:rsid w:val="001863BD"/>
    <w:rsid w:val="001866A9"/>
    <w:rsid w:val="00186A55"/>
    <w:rsid w:val="00187B03"/>
    <w:rsid w:val="001927A1"/>
    <w:rsid w:val="00192992"/>
    <w:rsid w:val="00194E0F"/>
    <w:rsid w:val="00197827"/>
    <w:rsid w:val="00197E46"/>
    <w:rsid w:val="001A0370"/>
    <w:rsid w:val="001A0AD4"/>
    <w:rsid w:val="001A32FC"/>
    <w:rsid w:val="001A40D5"/>
    <w:rsid w:val="001A412C"/>
    <w:rsid w:val="001A552B"/>
    <w:rsid w:val="001A57F7"/>
    <w:rsid w:val="001A5800"/>
    <w:rsid w:val="001A5D9F"/>
    <w:rsid w:val="001B04C6"/>
    <w:rsid w:val="001B1145"/>
    <w:rsid w:val="001B1C49"/>
    <w:rsid w:val="001B2ACF"/>
    <w:rsid w:val="001B439F"/>
    <w:rsid w:val="001B45EA"/>
    <w:rsid w:val="001B4DCA"/>
    <w:rsid w:val="001B5545"/>
    <w:rsid w:val="001B56E2"/>
    <w:rsid w:val="001B5734"/>
    <w:rsid w:val="001B799F"/>
    <w:rsid w:val="001B7CDA"/>
    <w:rsid w:val="001C1D9C"/>
    <w:rsid w:val="001C209E"/>
    <w:rsid w:val="001C2811"/>
    <w:rsid w:val="001C3343"/>
    <w:rsid w:val="001C5CEE"/>
    <w:rsid w:val="001C6118"/>
    <w:rsid w:val="001C66F0"/>
    <w:rsid w:val="001D08F5"/>
    <w:rsid w:val="001D11CB"/>
    <w:rsid w:val="001D1300"/>
    <w:rsid w:val="001D145C"/>
    <w:rsid w:val="001D2021"/>
    <w:rsid w:val="001D20A0"/>
    <w:rsid w:val="001D287D"/>
    <w:rsid w:val="001D2B0A"/>
    <w:rsid w:val="001D5301"/>
    <w:rsid w:val="001D55D7"/>
    <w:rsid w:val="001D7703"/>
    <w:rsid w:val="001D7BFA"/>
    <w:rsid w:val="001D7FA4"/>
    <w:rsid w:val="001E3CB6"/>
    <w:rsid w:val="001E460D"/>
    <w:rsid w:val="001E4B56"/>
    <w:rsid w:val="001E6C31"/>
    <w:rsid w:val="001E7AC3"/>
    <w:rsid w:val="001F138A"/>
    <w:rsid w:val="001F2AFA"/>
    <w:rsid w:val="001F2CE9"/>
    <w:rsid w:val="001F3B81"/>
    <w:rsid w:val="001F48C5"/>
    <w:rsid w:val="001F5507"/>
    <w:rsid w:val="001F69E5"/>
    <w:rsid w:val="00200202"/>
    <w:rsid w:val="002013F4"/>
    <w:rsid w:val="00206828"/>
    <w:rsid w:val="00206D61"/>
    <w:rsid w:val="00213900"/>
    <w:rsid w:val="00214074"/>
    <w:rsid w:val="00220D98"/>
    <w:rsid w:val="002255F0"/>
    <w:rsid w:val="00225C31"/>
    <w:rsid w:val="0022600C"/>
    <w:rsid w:val="0022752D"/>
    <w:rsid w:val="002276A2"/>
    <w:rsid w:val="002301CF"/>
    <w:rsid w:val="0023058B"/>
    <w:rsid w:val="00231197"/>
    <w:rsid w:val="0023170C"/>
    <w:rsid w:val="002317AD"/>
    <w:rsid w:val="0023298E"/>
    <w:rsid w:val="002344FC"/>
    <w:rsid w:val="00234A2A"/>
    <w:rsid w:val="0023563D"/>
    <w:rsid w:val="002359BC"/>
    <w:rsid w:val="00235F18"/>
    <w:rsid w:val="002428E0"/>
    <w:rsid w:val="00243031"/>
    <w:rsid w:val="002433E1"/>
    <w:rsid w:val="002444BB"/>
    <w:rsid w:val="0024465F"/>
    <w:rsid w:val="0024561E"/>
    <w:rsid w:val="0024601B"/>
    <w:rsid w:val="00246EAE"/>
    <w:rsid w:val="002505BD"/>
    <w:rsid w:val="00254996"/>
    <w:rsid w:val="00254A1C"/>
    <w:rsid w:val="0025580A"/>
    <w:rsid w:val="00257629"/>
    <w:rsid w:val="002601E0"/>
    <w:rsid w:val="00260257"/>
    <w:rsid w:val="00261E43"/>
    <w:rsid w:val="0026250A"/>
    <w:rsid w:val="00262748"/>
    <w:rsid w:val="0026306A"/>
    <w:rsid w:val="002643D3"/>
    <w:rsid w:val="002712A3"/>
    <w:rsid w:val="002740B2"/>
    <w:rsid w:val="00275879"/>
    <w:rsid w:val="00275F6B"/>
    <w:rsid w:val="00275FF6"/>
    <w:rsid w:val="0027641C"/>
    <w:rsid w:val="00280613"/>
    <w:rsid w:val="00281280"/>
    <w:rsid w:val="002831BA"/>
    <w:rsid w:val="00283507"/>
    <w:rsid w:val="00284A7E"/>
    <w:rsid w:val="00284F5A"/>
    <w:rsid w:val="0028624A"/>
    <w:rsid w:val="00287D4A"/>
    <w:rsid w:val="00290655"/>
    <w:rsid w:val="00290F4E"/>
    <w:rsid w:val="0029127B"/>
    <w:rsid w:val="002925FD"/>
    <w:rsid w:val="00293CB2"/>
    <w:rsid w:val="002958E5"/>
    <w:rsid w:val="00297078"/>
    <w:rsid w:val="00297B42"/>
    <w:rsid w:val="002A1A51"/>
    <w:rsid w:val="002A1EAE"/>
    <w:rsid w:val="002A2A87"/>
    <w:rsid w:val="002A309E"/>
    <w:rsid w:val="002A4BDB"/>
    <w:rsid w:val="002A4F05"/>
    <w:rsid w:val="002A54F3"/>
    <w:rsid w:val="002B02B4"/>
    <w:rsid w:val="002B20A8"/>
    <w:rsid w:val="002B39A9"/>
    <w:rsid w:val="002B5DA5"/>
    <w:rsid w:val="002B6807"/>
    <w:rsid w:val="002B7092"/>
    <w:rsid w:val="002C0498"/>
    <w:rsid w:val="002C20DA"/>
    <w:rsid w:val="002C3895"/>
    <w:rsid w:val="002C61D9"/>
    <w:rsid w:val="002C7442"/>
    <w:rsid w:val="002C7C4E"/>
    <w:rsid w:val="002D0400"/>
    <w:rsid w:val="002D1152"/>
    <w:rsid w:val="002D25B4"/>
    <w:rsid w:val="002D6F80"/>
    <w:rsid w:val="002E01EA"/>
    <w:rsid w:val="002E01FF"/>
    <w:rsid w:val="002E274A"/>
    <w:rsid w:val="002E33A0"/>
    <w:rsid w:val="002E3859"/>
    <w:rsid w:val="002E6058"/>
    <w:rsid w:val="002E6A77"/>
    <w:rsid w:val="002F0E6F"/>
    <w:rsid w:val="002F1251"/>
    <w:rsid w:val="002F205E"/>
    <w:rsid w:val="002F31EE"/>
    <w:rsid w:val="002F345F"/>
    <w:rsid w:val="003003BD"/>
    <w:rsid w:val="00300485"/>
    <w:rsid w:val="003009A7"/>
    <w:rsid w:val="00302106"/>
    <w:rsid w:val="003021E5"/>
    <w:rsid w:val="00303383"/>
    <w:rsid w:val="0030407F"/>
    <w:rsid w:val="003046E4"/>
    <w:rsid w:val="00305DD0"/>
    <w:rsid w:val="00313E08"/>
    <w:rsid w:val="00314602"/>
    <w:rsid w:val="00316593"/>
    <w:rsid w:val="00320C1B"/>
    <w:rsid w:val="00320CEC"/>
    <w:rsid w:val="0032298E"/>
    <w:rsid w:val="003265A9"/>
    <w:rsid w:val="003270BE"/>
    <w:rsid w:val="00327A41"/>
    <w:rsid w:val="00327C24"/>
    <w:rsid w:val="0033015B"/>
    <w:rsid w:val="003311E8"/>
    <w:rsid w:val="003332C9"/>
    <w:rsid w:val="00333D92"/>
    <w:rsid w:val="00334B57"/>
    <w:rsid w:val="00336293"/>
    <w:rsid w:val="00336967"/>
    <w:rsid w:val="00336FEA"/>
    <w:rsid w:val="003406DB"/>
    <w:rsid w:val="003455FF"/>
    <w:rsid w:val="0034596C"/>
    <w:rsid w:val="00346B74"/>
    <w:rsid w:val="00347D12"/>
    <w:rsid w:val="00351CD2"/>
    <w:rsid w:val="00352493"/>
    <w:rsid w:val="0035267F"/>
    <w:rsid w:val="00352773"/>
    <w:rsid w:val="00353A4B"/>
    <w:rsid w:val="0035422E"/>
    <w:rsid w:val="003561C1"/>
    <w:rsid w:val="0035653A"/>
    <w:rsid w:val="00357EC3"/>
    <w:rsid w:val="00360E57"/>
    <w:rsid w:val="00362671"/>
    <w:rsid w:val="00365631"/>
    <w:rsid w:val="003662D5"/>
    <w:rsid w:val="00373BDB"/>
    <w:rsid w:val="00376C9D"/>
    <w:rsid w:val="0038052F"/>
    <w:rsid w:val="00380D3C"/>
    <w:rsid w:val="00381E59"/>
    <w:rsid w:val="00382371"/>
    <w:rsid w:val="00383837"/>
    <w:rsid w:val="00384E4B"/>
    <w:rsid w:val="0039083B"/>
    <w:rsid w:val="003943B3"/>
    <w:rsid w:val="003A3D70"/>
    <w:rsid w:val="003A3DBD"/>
    <w:rsid w:val="003A50FA"/>
    <w:rsid w:val="003A53B4"/>
    <w:rsid w:val="003B129C"/>
    <w:rsid w:val="003B19CA"/>
    <w:rsid w:val="003B3507"/>
    <w:rsid w:val="003B36C3"/>
    <w:rsid w:val="003B3FBD"/>
    <w:rsid w:val="003B4FB5"/>
    <w:rsid w:val="003B588A"/>
    <w:rsid w:val="003B7047"/>
    <w:rsid w:val="003C0115"/>
    <w:rsid w:val="003C05CE"/>
    <w:rsid w:val="003C2E0D"/>
    <w:rsid w:val="003C3001"/>
    <w:rsid w:val="003C3070"/>
    <w:rsid w:val="003C364A"/>
    <w:rsid w:val="003C7F2F"/>
    <w:rsid w:val="003D26A4"/>
    <w:rsid w:val="003D2DE7"/>
    <w:rsid w:val="003D5037"/>
    <w:rsid w:val="003D531B"/>
    <w:rsid w:val="003D533C"/>
    <w:rsid w:val="003D657D"/>
    <w:rsid w:val="003E0CA1"/>
    <w:rsid w:val="003E1F08"/>
    <w:rsid w:val="003E362E"/>
    <w:rsid w:val="003E3654"/>
    <w:rsid w:val="003E54C2"/>
    <w:rsid w:val="003E6808"/>
    <w:rsid w:val="003E6816"/>
    <w:rsid w:val="003F0266"/>
    <w:rsid w:val="003F13E3"/>
    <w:rsid w:val="003F25D4"/>
    <w:rsid w:val="003F266F"/>
    <w:rsid w:val="003F4FFD"/>
    <w:rsid w:val="003F6CFD"/>
    <w:rsid w:val="003F6FEC"/>
    <w:rsid w:val="003F74C6"/>
    <w:rsid w:val="003F794D"/>
    <w:rsid w:val="004001CB"/>
    <w:rsid w:val="00401C84"/>
    <w:rsid w:val="00401DA1"/>
    <w:rsid w:val="00401EB4"/>
    <w:rsid w:val="00402013"/>
    <w:rsid w:val="00402D3B"/>
    <w:rsid w:val="00403A9C"/>
    <w:rsid w:val="00403BC6"/>
    <w:rsid w:val="004059E3"/>
    <w:rsid w:val="0040637E"/>
    <w:rsid w:val="00410B71"/>
    <w:rsid w:val="00411975"/>
    <w:rsid w:val="00411DFC"/>
    <w:rsid w:val="00412BFA"/>
    <w:rsid w:val="00414697"/>
    <w:rsid w:val="00421447"/>
    <w:rsid w:val="00421D9E"/>
    <w:rsid w:val="00422332"/>
    <w:rsid w:val="00422AA2"/>
    <w:rsid w:val="00426913"/>
    <w:rsid w:val="004270D5"/>
    <w:rsid w:val="00431120"/>
    <w:rsid w:val="00431A98"/>
    <w:rsid w:val="00431ED6"/>
    <w:rsid w:val="0043256A"/>
    <w:rsid w:val="0043360B"/>
    <w:rsid w:val="0043467F"/>
    <w:rsid w:val="00435BB8"/>
    <w:rsid w:val="004414A8"/>
    <w:rsid w:val="00441D1F"/>
    <w:rsid w:val="00445C5A"/>
    <w:rsid w:val="004501C8"/>
    <w:rsid w:val="00450AF5"/>
    <w:rsid w:val="004512A6"/>
    <w:rsid w:val="00453AB2"/>
    <w:rsid w:val="00454FD6"/>
    <w:rsid w:val="00455CAB"/>
    <w:rsid w:val="004562C4"/>
    <w:rsid w:val="0045773E"/>
    <w:rsid w:val="004579BD"/>
    <w:rsid w:val="00461062"/>
    <w:rsid w:val="00461B30"/>
    <w:rsid w:val="00465482"/>
    <w:rsid w:val="0046739E"/>
    <w:rsid w:val="004679BF"/>
    <w:rsid w:val="00467F37"/>
    <w:rsid w:val="00470100"/>
    <w:rsid w:val="00471AC3"/>
    <w:rsid w:val="0047255C"/>
    <w:rsid w:val="004758AD"/>
    <w:rsid w:val="00475BEB"/>
    <w:rsid w:val="00484BE9"/>
    <w:rsid w:val="00484C07"/>
    <w:rsid w:val="004855C3"/>
    <w:rsid w:val="004869F4"/>
    <w:rsid w:val="00487BFF"/>
    <w:rsid w:val="00490D4C"/>
    <w:rsid w:val="00490D9C"/>
    <w:rsid w:val="00496066"/>
    <w:rsid w:val="004A0A30"/>
    <w:rsid w:val="004A1E5B"/>
    <w:rsid w:val="004A2831"/>
    <w:rsid w:val="004A3DCC"/>
    <w:rsid w:val="004A5475"/>
    <w:rsid w:val="004A5E30"/>
    <w:rsid w:val="004B0E13"/>
    <w:rsid w:val="004B1498"/>
    <w:rsid w:val="004B3480"/>
    <w:rsid w:val="004B3582"/>
    <w:rsid w:val="004B3964"/>
    <w:rsid w:val="004B5A0A"/>
    <w:rsid w:val="004B6C35"/>
    <w:rsid w:val="004B6E5F"/>
    <w:rsid w:val="004B7046"/>
    <w:rsid w:val="004B74AE"/>
    <w:rsid w:val="004B775C"/>
    <w:rsid w:val="004C022D"/>
    <w:rsid w:val="004C0326"/>
    <w:rsid w:val="004C223C"/>
    <w:rsid w:val="004C3D14"/>
    <w:rsid w:val="004C4924"/>
    <w:rsid w:val="004C6E0E"/>
    <w:rsid w:val="004C72C4"/>
    <w:rsid w:val="004C7CE8"/>
    <w:rsid w:val="004D08FE"/>
    <w:rsid w:val="004D0A0B"/>
    <w:rsid w:val="004D0B88"/>
    <w:rsid w:val="004D143C"/>
    <w:rsid w:val="004D1662"/>
    <w:rsid w:val="004D2635"/>
    <w:rsid w:val="004D265E"/>
    <w:rsid w:val="004D35CB"/>
    <w:rsid w:val="004D43C1"/>
    <w:rsid w:val="004D5A81"/>
    <w:rsid w:val="004D5BC5"/>
    <w:rsid w:val="004D650F"/>
    <w:rsid w:val="004D6530"/>
    <w:rsid w:val="004D65F8"/>
    <w:rsid w:val="004D675A"/>
    <w:rsid w:val="004D7609"/>
    <w:rsid w:val="004E05B4"/>
    <w:rsid w:val="004E1570"/>
    <w:rsid w:val="004E1FC8"/>
    <w:rsid w:val="004E2ADE"/>
    <w:rsid w:val="004E4062"/>
    <w:rsid w:val="004E5401"/>
    <w:rsid w:val="004E56DC"/>
    <w:rsid w:val="004F0072"/>
    <w:rsid w:val="004F0519"/>
    <w:rsid w:val="004F0529"/>
    <w:rsid w:val="004F0D47"/>
    <w:rsid w:val="004F143E"/>
    <w:rsid w:val="004F3976"/>
    <w:rsid w:val="004F4167"/>
    <w:rsid w:val="004F77F7"/>
    <w:rsid w:val="004F7D19"/>
    <w:rsid w:val="0050000E"/>
    <w:rsid w:val="0050347F"/>
    <w:rsid w:val="0050360A"/>
    <w:rsid w:val="00503CE8"/>
    <w:rsid w:val="005041D0"/>
    <w:rsid w:val="00504E8B"/>
    <w:rsid w:val="00505445"/>
    <w:rsid w:val="00506A50"/>
    <w:rsid w:val="005110AB"/>
    <w:rsid w:val="00517424"/>
    <w:rsid w:val="0052037C"/>
    <w:rsid w:val="005236B5"/>
    <w:rsid w:val="00523D25"/>
    <w:rsid w:val="00525112"/>
    <w:rsid w:val="0052546C"/>
    <w:rsid w:val="005255A5"/>
    <w:rsid w:val="00526BBB"/>
    <w:rsid w:val="005321BF"/>
    <w:rsid w:val="0053388C"/>
    <w:rsid w:val="00535CB0"/>
    <w:rsid w:val="00535DF9"/>
    <w:rsid w:val="00536CEC"/>
    <w:rsid w:val="00536D98"/>
    <w:rsid w:val="00536F2F"/>
    <w:rsid w:val="005379BB"/>
    <w:rsid w:val="00540098"/>
    <w:rsid w:val="00543603"/>
    <w:rsid w:val="00543D5B"/>
    <w:rsid w:val="005468BF"/>
    <w:rsid w:val="005502D6"/>
    <w:rsid w:val="00550F28"/>
    <w:rsid w:val="005525EA"/>
    <w:rsid w:val="0055325C"/>
    <w:rsid w:val="00555056"/>
    <w:rsid w:val="00560BB8"/>
    <w:rsid w:val="00560F97"/>
    <w:rsid w:val="00561100"/>
    <w:rsid w:val="00561469"/>
    <w:rsid w:val="0056159B"/>
    <w:rsid w:val="005662D1"/>
    <w:rsid w:val="005663AE"/>
    <w:rsid w:val="005663E6"/>
    <w:rsid w:val="005674EF"/>
    <w:rsid w:val="00571840"/>
    <w:rsid w:val="00572D59"/>
    <w:rsid w:val="00573B7C"/>
    <w:rsid w:val="0057636F"/>
    <w:rsid w:val="00580CAA"/>
    <w:rsid w:val="00581E3C"/>
    <w:rsid w:val="00585003"/>
    <w:rsid w:val="00586FA5"/>
    <w:rsid w:val="00587F5A"/>
    <w:rsid w:val="0059169F"/>
    <w:rsid w:val="005918A3"/>
    <w:rsid w:val="005919A1"/>
    <w:rsid w:val="00592689"/>
    <w:rsid w:val="00593142"/>
    <w:rsid w:val="005943FB"/>
    <w:rsid w:val="00595C17"/>
    <w:rsid w:val="0059681C"/>
    <w:rsid w:val="005A13BE"/>
    <w:rsid w:val="005A15C3"/>
    <w:rsid w:val="005A1A59"/>
    <w:rsid w:val="005A1C70"/>
    <w:rsid w:val="005A2FE4"/>
    <w:rsid w:val="005A360B"/>
    <w:rsid w:val="005A59E8"/>
    <w:rsid w:val="005A5DFC"/>
    <w:rsid w:val="005A6660"/>
    <w:rsid w:val="005A7136"/>
    <w:rsid w:val="005A7E75"/>
    <w:rsid w:val="005B1873"/>
    <w:rsid w:val="005B208C"/>
    <w:rsid w:val="005B2F95"/>
    <w:rsid w:val="005B335C"/>
    <w:rsid w:val="005B37C0"/>
    <w:rsid w:val="005B44BB"/>
    <w:rsid w:val="005B513D"/>
    <w:rsid w:val="005C0BFC"/>
    <w:rsid w:val="005C0E35"/>
    <w:rsid w:val="005C3C81"/>
    <w:rsid w:val="005C4B22"/>
    <w:rsid w:val="005C57D2"/>
    <w:rsid w:val="005C653A"/>
    <w:rsid w:val="005D0A04"/>
    <w:rsid w:val="005D16F1"/>
    <w:rsid w:val="005D241B"/>
    <w:rsid w:val="005D2ADD"/>
    <w:rsid w:val="005D4CF6"/>
    <w:rsid w:val="005D54FE"/>
    <w:rsid w:val="005E1911"/>
    <w:rsid w:val="005E294F"/>
    <w:rsid w:val="005E6ED5"/>
    <w:rsid w:val="005F05CE"/>
    <w:rsid w:val="005F417B"/>
    <w:rsid w:val="005F4449"/>
    <w:rsid w:val="005F6072"/>
    <w:rsid w:val="005F6318"/>
    <w:rsid w:val="005F7AEE"/>
    <w:rsid w:val="005F7D68"/>
    <w:rsid w:val="00600BA5"/>
    <w:rsid w:val="00601AE1"/>
    <w:rsid w:val="00604906"/>
    <w:rsid w:val="00606E79"/>
    <w:rsid w:val="0061159B"/>
    <w:rsid w:val="0061194A"/>
    <w:rsid w:val="00612598"/>
    <w:rsid w:val="00613F7F"/>
    <w:rsid w:val="00616BC2"/>
    <w:rsid w:val="006203F3"/>
    <w:rsid w:val="00620D17"/>
    <w:rsid w:val="00627370"/>
    <w:rsid w:val="006320C8"/>
    <w:rsid w:val="00632BB1"/>
    <w:rsid w:val="00633209"/>
    <w:rsid w:val="00633264"/>
    <w:rsid w:val="0063408C"/>
    <w:rsid w:val="0063723E"/>
    <w:rsid w:val="0064170E"/>
    <w:rsid w:val="0064217B"/>
    <w:rsid w:val="0064355C"/>
    <w:rsid w:val="006455EC"/>
    <w:rsid w:val="00645D22"/>
    <w:rsid w:val="006471FB"/>
    <w:rsid w:val="006509BA"/>
    <w:rsid w:val="00655ABD"/>
    <w:rsid w:val="00655C75"/>
    <w:rsid w:val="0066066E"/>
    <w:rsid w:val="00661E66"/>
    <w:rsid w:val="00663456"/>
    <w:rsid w:val="00665AF8"/>
    <w:rsid w:val="00666095"/>
    <w:rsid w:val="00666654"/>
    <w:rsid w:val="00666DC4"/>
    <w:rsid w:val="0066781B"/>
    <w:rsid w:val="00670B4B"/>
    <w:rsid w:val="00670BF7"/>
    <w:rsid w:val="0067205F"/>
    <w:rsid w:val="00675542"/>
    <w:rsid w:val="00675F09"/>
    <w:rsid w:val="006765A3"/>
    <w:rsid w:val="0067667C"/>
    <w:rsid w:val="00676A92"/>
    <w:rsid w:val="006800A2"/>
    <w:rsid w:val="006809FB"/>
    <w:rsid w:val="00681611"/>
    <w:rsid w:val="00681A6A"/>
    <w:rsid w:val="00682C40"/>
    <w:rsid w:val="00683540"/>
    <w:rsid w:val="0068362E"/>
    <w:rsid w:val="006841C0"/>
    <w:rsid w:val="00686803"/>
    <w:rsid w:val="00686ADE"/>
    <w:rsid w:val="00686C2F"/>
    <w:rsid w:val="00687DA1"/>
    <w:rsid w:val="00690EBC"/>
    <w:rsid w:val="00691B73"/>
    <w:rsid w:val="00693E8F"/>
    <w:rsid w:val="006971A2"/>
    <w:rsid w:val="006978E4"/>
    <w:rsid w:val="006A00BC"/>
    <w:rsid w:val="006A0677"/>
    <w:rsid w:val="006A135F"/>
    <w:rsid w:val="006A28B9"/>
    <w:rsid w:val="006A637F"/>
    <w:rsid w:val="006B27E9"/>
    <w:rsid w:val="006B347F"/>
    <w:rsid w:val="006B4954"/>
    <w:rsid w:val="006B4F5C"/>
    <w:rsid w:val="006B506C"/>
    <w:rsid w:val="006C129E"/>
    <w:rsid w:val="006C1817"/>
    <w:rsid w:val="006C2162"/>
    <w:rsid w:val="006C345E"/>
    <w:rsid w:val="006C5978"/>
    <w:rsid w:val="006C6CF8"/>
    <w:rsid w:val="006D046D"/>
    <w:rsid w:val="006D141F"/>
    <w:rsid w:val="006D20DF"/>
    <w:rsid w:val="006D256D"/>
    <w:rsid w:val="006D282D"/>
    <w:rsid w:val="006D5582"/>
    <w:rsid w:val="006D64A4"/>
    <w:rsid w:val="006D66CF"/>
    <w:rsid w:val="006D671F"/>
    <w:rsid w:val="006D7BBF"/>
    <w:rsid w:val="006E0A9A"/>
    <w:rsid w:val="006E21E8"/>
    <w:rsid w:val="006E3867"/>
    <w:rsid w:val="006E53AF"/>
    <w:rsid w:val="006E59E6"/>
    <w:rsid w:val="006F003A"/>
    <w:rsid w:val="006F0EE0"/>
    <w:rsid w:val="006F15E6"/>
    <w:rsid w:val="006F31AE"/>
    <w:rsid w:val="006F44C8"/>
    <w:rsid w:val="006F5CE9"/>
    <w:rsid w:val="006F61CA"/>
    <w:rsid w:val="006F7A82"/>
    <w:rsid w:val="006F7EF8"/>
    <w:rsid w:val="0070065E"/>
    <w:rsid w:val="007016DF"/>
    <w:rsid w:val="00702663"/>
    <w:rsid w:val="00702B29"/>
    <w:rsid w:val="00702DC2"/>
    <w:rsid w:val="00703E26"/>
    <w:rsid w:val="00704BDD"/>
    <w:rsid w:val="007071A3"/>
    <w:rsid w:val="0071004F"/>
    <w:rsid w:val="007101D5"/>
    <w:rsid w:val="0071359F"/>
    <w:rsid w:val="00714095"/>
    <w:rsid w:val="00714D90"/>
    <w:rsid w:val="007159A3"/>
    <w:rsid w:val="007174EB"/>
    <w:rsid w:val="00717848"/>
    <w:rsid w:val="00717CA8"/>
    <w:rsid w:val="00720480"/>
    <w:rsid w:val="00720817"/>
    <w:rsid w:val="0072095A"/>
    <w:rsid w:val="00723A72"/>
    <w:rsid w:val="00724B41"/>
    <w:rsid w:val="00725C6D"/>
    <w:rsid w:val="00726AF6"/>
    <w:rsid w:val="00730F4C"/>
    <w:rsid w:val="0073353D"/>
    <w:rsid w:val="00733D67"/>
    <w:rsid w:val="00736424"/>
    <w:rsid w:val="00736766"/>
    <w:rsid w:val="00737AA4"/>
    <w:rsid w:val="00737E3A"/>
    <w:rsid w:val="007407A6"/>
    <w:rsid w:val="007413FE"/>
    <w:rsid w:val="0074183A"/>
    <w:rsid w:val="00741945"/>
    <w:rsid w:val="007436A2"/>
    <w:rsid w:val="00744D60"/>
    <w:rsid w:val="00747B45"/>
    <w:rsid w:val="007500D9"/>
    <w:rsid w:val="007507EE"/>
    <w:rsid w:val="00750B54"/>
    <w:rsid w:val="00752DE7"/>
    <w:rsid w:val="00752E01"/>
    <w:rsid w:val="00755C64"/>
    <w:rsid w:val="0076251F"/>
    <w:rsid w:val="00762576"/>
    <w:rsid w:val="007631F3"/>
    <w:rsid w:val="00763418"/>
    <w:rsid w:val="00764B45"/>
    <w:rsid w:val="007672BA"/>
    <w:rsid w:val="00770941"/>
    <w:rsid w:val="007727A1"/>
    <w:rsid w:val="00772EF9"/>
    <w:rsid w:val="00774545"/>
    <w:rsid w:val="00776570"/>
    <w:rsid w:val="007777C2"/>
    <w:rsid w:val="00782592"/>
    <w:rsid w:val="00786865"/>
    <w:rsid w:val="007870A9"/>
    <w:rsid w:val="00792AEB"/>
    <w:rsid w:val="007939A9"/>
    <w:rsid w:val="0079454C"/>
    <w:rsid w:val="007A07F5"/>
    <w:rsid w:val="007A352E"/>
    <w:rsid w:val="007A3B07"/>
    <w:rsid w:val="007A3CA2"/>
    <w:rsid w:val="007A50D6"/>
    <w:rsid w:val="007A61E7"/>
    <w:rsid w:val="007A6535"/>
    <w:rsid w:val="007A6822"/>
    <w:rsid w:val="007A7053"/>
    <w:rsid w:val="007B0CF6"/>
    <w:rsid w:val="007B2BAC"/>
    <w:rsid w:val="007B3276"/>
    <w:rsid w:val="007B53F4"/>
    <w:rsid w:val="007B5830"/>
    <w:rsid w:val="007B6ACB"/>
    <w:rsid w:val="007B6F7C"/>
    <w:rsid w:val="007B7250"/>
    <w:rsid w:val="007B7543"/>
    <w:rsid w:val="007B7BB5"/>
    <w:rsid w:val="007C0E9F"/>
    <w:rsid w:val="007C26E3"/>
    <w:rsid w:val="007C2A87"/>
    <w:rsid w:val="007C353C"/>
    <w:rsid w:val="007C3D92"/>
    <w:rsid w:val="007C3E04"/>
    <w:rsid w:val="007C4573"/>
    <w:rsid w:val="007C5065"/>
    <w:rsid w:val="007C6A23"/>
    <w:rsid w:val="007D0EF7"/>
    <w:rsid w:val="007D1198"/>
    <w:rsid w:val="007D1D65"/>
    <w:rsid w:val="007D4BA8"/>
    <w:rsid w:val="007D4F74"/>
    <w:rsid w:val="007D545C"/>
    <w:rsid w:val="007E0AA0"/>
    <w:rsid w:val="007E0D81"/>
    <w:rsid w:val="007E1A32"/>
    <w:rsid w:val="007E296A"/>
    <w:rsid w:val="007E3338"/>
    <w:rsid w:val="007E3695"/>
    <w:rsid w:val="007E3B98"/>
    <w:rsid w:val="007E44D4"/>
    <w:rsid w:val="007E4FBB"/>
    <w:rsid w:val="007E6119"/>
    <w:rsid w:val="007E6523"/>
    <w:rsid w:val="007E698D"/>
    <w:rsid w:val="007E7BC8"/>
    <w:rsid w:val="007F0395"/>
    <w:rsid w:val="007F3257"/>
    <w:rsid w:val="007F3B9F"/>
    <w:rsid w:val="007F4727"/>
    <w:rsid w:val="007F6104"/>
    <w:rsid w:val="007F6882"/>
    <w:rsid w:val="007F6C77"/>
    <w:rsid w:val="007F750B"/>
    <w:rsid w:val="007F7986"/>
    <w:rsid w:val="0080103E"/>
    <w:rsid w:val="00802422"/>
    <w:rsid w:val="00803546"/>
    <w:rsid w:val="00803F65"/>
    <w:rsid w:val="00804244"/>
    <w:rsid w:val="0080782C"/>
    <w:rsid w:val="00811A81"/>
    <w:rsid w:val="00815884"/>
    <w:rsid w:val="00816755"/>
    <w:rsid w:val="00816CFB"/>
    <w:rsid w:val="008178FA"/>
    <w:rsid w:val="008209D5"/>
    <w:rsid w:val="008237D2"/>
    <w:rsid w:val="00823A12"/>
    <w:rsid w:val="00824027"/>
    <w:rsid w:val="008255C2"/>
    <w:rsid w:val="00825A88"/>
    <w:rsid w:val="00826595"/>
    <w:rsid w:val="008278F1"/>
    <w:rsid w:val="00827B25"/>
    <w:rsid w:val="00830FA5"/>
    <w:rsid w:val="00832E99"/>
    <w:rsid w:val="00833A42"/>
    <w:rsid w:val="0083495F"/>
    <w:rsid w:val="008403D3"/>
    <w:rsid w:val="00841C47"/>
    <w:rsid w:val="008434D0"/>
    <w:rsid w:val="00846DF9"/>
    <w:rsid w:val="0084776A"/>
    <w:rsid w:val="008506F0"/>
    <w:rsid w:val="00852436"/>
    <w:rsid w:val="008561F9"/>
    <w:rsid w:val="0085687B"/>
    <w:rsid w:val="008605C1"/>
    <w:rsid w:val="00860E80"/>
    <w:rsid w:val="00862820"/>
    <w:rsid w:val="00862EF3"/>
    <w:rsid w:val="008635C0"/>
    <w:rsid w:val="00864F51"/>
    <w:rsid w:val="0086524E"/>
    <w:rsid w:val="00865D66"/>
    <w:rsid w:val="008667B3"/>
    <w:rsid w:val="008702B3"/>
    <w:rsid w:val="00870406"/>
    <w:rsid w:val="00870645"/>
    <w:rsid w:val="008716A5"/>
    <w:rsid w:val="008754B2"/>
    <w:rsid w:val="008758A7"/>
    <w:rsid w:val="008809A3"/>
    <w:rsid w:val="00880E89"/>
    <w:rsid w:val="008812BF"/>
    <w:rsid w:val="0088203B"/>
    <w:rsid w:val="00882E13"/>
    <w:rsid w:val="00882F55"/>
    <w:rsid w:val="00883AF4"/>
    <w:rsid w:val="008913CE"/>
    <w:rsid w:val="0089141A"/>
    <w:rsid w:val="00891B8B"/>
    <w:rsid w:val="0089299E"/>
    <w:rsid w:val="00893299"/>
    <w:rsid w:val="00896941"/>
    <w:rsid w:val="008A2061"/>
    <w:rsid w:val="008A2B47"/>
    <w:rsid w:val="008A3D28"/>
    <w:rsid w:val="008A6409"/>
    <w:rsid w:val="008A6905"/>
    <w:rsid w:val="008B0540"/>
    <w:rsid w:val="008B3CE4"/>
    <w:rsid w:val="008B3FE2"/>
    <w:rsid w:val="008B536C"/>
    <w:rsid w:val="008C09A6"/>
    <w:rsid w:val="008C14C9"/>
    <w:rsid w:val="008C21AF"/>
    <w:rsid w:val="008C30D1"/>
    <w:rsid w:val="008C3409"/>
    <w:rsid w:val="008C3691"/>
    <w:rsid w:val="008C386E"/>
    <w:rsid w:val="008C3EE2"/>
    <w:rsid w:val="008C48BB"/>
    <w:rsid w:val="008C5118"/>
    <w:rsid w:val="008C570D"/>
    <w:rsid w:val="008C60FF"/>
    <w:rsid w:val="008C7F19"/>
    <w:rsid w:val="008D1443"/>
    <w:rsid w:val="008D2659"/>
    <w:rsid w:val="008D6673"/>
    <w:rsid w:val="008D790C"/>
    <w:rsid w:val="008E0211"/>
    <w:rsid w:val="008E07C0"/>
    <w:rsid w:val="008E0AE6"/>
    <w:rsid w:val="008E2B45"/>
    <w:rsid w:val="008E349F"/>
    <w:rsid w:val="008E41C2"/>
    <w:rsid w:val="008E71E9"/>
    <w:rsid w:val="008E75D4"/>
    <w:rsid w:val="008E7E35"/>
    <w:rsid w:val="008F2585"/>
    <w:rsid w:val="008F2595"/>
    <w:rsid w:val="008F25A4"/>
    <w:rsid w:val="008F267D"/>
    <w:rsid w:val="008F3510"/>
    <w:rsid w:val="008F48C6"/>
    <w:rsid w:val="008F5BDE"/>
    <w:rsid w:val="008F6845"/>
    <w:rsid w:val="008F6ED6"/>
    <w:rsid w:val="008F7392"/>
    <w:rsid w:val="00900BFE"/>
    <w:rsid w:val="009014F7"/>
    <w:rsid w:val="00902129"/>
    <w:rsid w:val="00902E19"/>
    <w:rsid w:val="00902FC7"/>
    <w:rsid w:val="009046C2"/>
    <w:rsid w:val="00904CD3"/>
    <w:rsid w:val="00905919"/>
    <w:rsid w:val="00907B03"/>
    <w:rsid w:val="00910E29"/>
    <w:rsid w:val="00911388"/>
    <w:rsid w:val="00916940"/>
    <w:rsid w:val="00917319"/>
    <w:rsid w:val="00924CDF"/>
    <w:rsid w:val="009258C7"/>
    <w:rsid w:val="00925A62"/>
    <w:rsid w:val="00925F21"/>
    <w:rsid w:val="00926EDA"/>
    <w:rsid w:val="00927439"/>
    <w:rsid w:val="00930AA4"/>
    <w:rsid w:val="009329BF"/>
    <w:rsid w:val="00932A67"/>
    <w:rsid w:val="00933137"/>
    <w:rsid w:val="00936858"/>
    <w:rsid w:val="00937396"/>
    <w:rsid w:val="00937E36"/>
    <w:rsid w:val="00937EFB"/>
    <w:rsid w:val="0094067F"/>
    <w:rsid w:val="00940C7D"/>
    <w:rsid w:val="00941E6E"/>
    <w:rsid w:val="00943BCA"/>
    <w:rsid w:val="00943DD9"/>
    <w:rsid w:val="00944A45"/>
    <w:rsid w:val="0094567D"/>
    <w:rsid w:val="009475FA"/>
    <w:rsid w:val="00951714"/>
    <w:rsid w:val="009525B0"/>
    <w:rsid w:val="009549AD"/>
    <w:rsid w:val="00954BB0"/>
    <w:rsid w:val="00954F6D"/>
    <w:rsid w:val="00955C06"/>
    <w:rsid w:val="00957F16"/>
    <w:rsid w:val="0096044D"/>
    <w:rsid w:val="009610C6"/>
    <w:rsid w:val="00964A24"/>
    <w:rsid w:val="00964C00"/>
    <w:rsid w:val="00966502"/>
    <w:rsid w:val="00966736"/>
    <w:rsid w:val="00966D18"/>
    <w:rsid w:val="00970D1A"/>
    <w:rsid w:val="00974288"/>
    <w:rsid w:val="009746D7"/>
    <w:rsid w:val="00975345"/>
    <w:rsid w:val="0097553E"/>
    <w:rsid w:val="00976448"/>
    <w:rsid w:val="0098086E"/>
    <w:rsid w:val="00980FA4"/>
    <w:rsid w:val="009821C8"/>
    <w:rsid w:val="00982433"/>
    <w:rsid w:val="00982D91"/>
    <w:rsid w:val="00982E74"/>
    <w:rsid w:val="00986DCD"/>
    <w:rsid w:val="00987326"/>
    <w:rsid w:val="009911B2"/>
    <w:rsid w:val="00991FC0"/>
    <w:rsid w:val="00992AF5"/>
    <w:rsid w:val="00993000"/>
    <w:rsid w:val="009935F8"/>
    <w:rsid w:val="00993C10"/>
    <w:rsid w:val="00993DD7"/>
    <w:rsid w:val="00995B1D"/>
    <w:rsid w:val="00995E20"/>
    <w:rsid w:val="009A0D8C"/>
    <w:rsid w:val="009A1A23"/>
    <w:rsid w:val="009A3945"/>
    <w:rsid w:val="009A430C"/>
    <w:rsid w:val="009A494F"/>
    <w:rsid w:val="009A7C57"/>
    <w:rsid w:val="009B007D"/>
    <w:rsid w:val="009B0D65"/>
    <w:rsid w:val="009B1205"/>
    <w:rsid w:val="009B1BD0"/>
    <w:rsid w:val="009B1F96"/>
    <w:rsid w:val="009B232E"/>
    <w:rsid w:val="009B2B2E"/>
    <w:rsid w:val="009B2D3D"/>
    <w:rsid w:val="009B348C"/>
    <w:rsid w:val="009B3FF0"/>
    <w:rsid w:val="009B40BE"/>
    <w:rsid w:val="009B5289"/>
    <w:rsid w:val="009B5C7D"/>
    <w:rsid w:val="009B65F2"/>
    <w:rsid w:val="009B6849"/>
    <w:rsid w:val="009B7105"/>
    <w:rsid w:val="009B712F"/>
    <w:rsid w:val="009B740B"/>
    <w:rsid w:val="009C24F9"/>
    <w:rsid w:val="009C4157"/>
    <w:rsid w:val="009C42DC"/>
    <w:rsid w:val="009C49F4"/>
    <w:rsid w:val="009C5105"/>
    <w:rsid w:val="009D1631"/>
    <w:rsid w:val="009D3B9E"/>
    <w:rsid w:val="009D437C"/>
    <w:rsid w:val="009D47A0"/>
    <w:rsid w:val="009D562B"/>
    <w:rsid w:val="009D648C"/>
    <w:rsid w:val="009D72C5"/>
    <w:rsid w:val="009D7A48"/>
    <w:rsid w:val="009E04E0"/>
    <w:rsid w:val="009E10D5"/>
    <w:rsid w:val="009E1D1C"/>
    <w:rsid w:val="009E6D39"/>
    <w:rsid w:val="009F0442"/>
    <w:rsid w:val="009F0E2C"/>
    <w:rsid w:val="009F283E"/>
    <w:rsid w:val="009F364C"/>
    <w:rsid w:val="009F404B"/>
    <w:rsid w:val="009F4A09"/>
    <w:rsid w:val="009F4E25"/>
    <w:rsid w:val="009F5EB0"/>
    <w:rsid w:val="00A010E4"/>
    <w:rsid w:val="00A01A42"/>
    <w:rsid w:val="00A02D49"/>
    <w:rsid w:val="00A04543"/>
    <w:rsid w:val="00A05B3B"/>
    <w:rsid w:val="00A06155"/>
    <w:rsid w:val="00A07420"/>
    <w:rsid w:val="00A11982"/>
    <w:rsid w:val="00A1212A"/>
    <w:rsid w:val="00A12821"/>
    <w:rsid w:val="00A156E6"/>
    <w:rsid w:val="00A1667E"/>
    <w:rsid w:val="00A1708A"/>
    <w:rsid w:val="00A20B04"/>
    <w:rsid w:val="00A20E5E"/>
    <w:rsid w:val="00A2268E"/>
    <w:rsid w:val="00A24EAC"/>
    <w:rsid w:val="00A25B60"/>
    <w:rsid w:val="00A2637E"/>
    <w:rsid w:val="00A267D4"/>
    <w:rsid w:val="00A30010"/>
    <w:rsid w:val="00A30386"/>
    <w:rsid w:val="00A30A35"/>
    <w:rsid w:val="00A31534"/>
    <w:rsid w:val="00A32DAE"/>
    <w:rsid w:val="00A331A2"/>
    <w:rsid w:val="00A359AC"/>
    <w:rsid w:val="00A35FFB"/>
    <w:rsid w:val="00A37E6B"/>
    <w:rsid w:val="00A4097A"/>
    <w:rsid w:val="00A419EC"/>
    <w:rsid w:val="00A41A6D"/>
    <w:rsid w:val="00A41BF0"/>
    <w:rsid w:val="00A42E51"/>
    <w:rsid w:val="00A438DF"/>
    <w:rsid w:val="00A44B14"/>
    <w:rsid w:val="00A4565C"/>
    <w:rsid w:val="00A45A1F"/>
    <w:rsid w:val="00A47E1C"/>
    <w:rsid w:val="00A51A6C"/>
    <w:rsid w:val="00A51C4E"/>
    <w:rsid w:val="00A5383A"/>
    <w:rsid w:val="00A53862"/>
    <w:rsid w:val="00A569CB"/>
    <w:rsid w:val="00A576F6"/>
    <w:rsid w:val="00A60677"/>
    <w:rsid w:val="00A6315A"/>
    <w:rsid w:val="00A63E85"/>
    <w:rsid w:val="00A643E8"/>
    <w:rsid w:val="00A66086"/>
    <w:rsid w:val="00A675D5"/>
    <w:rsid w:val="00A705AE"/>
    <w:rsid w:val="00A711E0"/>
    <w:rsid w:val="00A71CBB"/>
    <w:rsid w:val="00A71FB5"/>
    <w:rsid w:val="00A73B67"/>
    <w:rsid w:val="00A742B6"/>
    <w:rsid w:val="00A74CB3"/>
    <w:rsid w:val="00A75EA5"/>
    <w:rsid w:val="00A7782A"/>
    <w:rsid w:val="00A821B7"/>
    <w:rsid w:val="00A82A2F"/>
    <w:rsid w:val="00A83281"/>
    <w:rsid w:val="00A837E4"/>
    <w:rsid w:val="00A851F9"/>
    <w:rsid w:val="00A85CC3"/>
    <w:rsid w:val="00A85E99"/>
    <w:rsid w:val="00A85F99"/>
    <w:rsid w:val="00A86A0B"/>
    <w:rsid w:val="00A86CCB"/>
    <w:rsid w:val="00A8763B"/>
    <w:rsid w:val="00A8768E"/>
    <w:rsid w:val="00A91B6F"/>
    <w:rsid w:val="00A93883"/>
    <w:rsid w:val="00A939C7"/>
    <w:rsid w:val="00A95C88"/>
    <w:rsid w:val="00A95F9B"/>
    <w:rsid w:val="00A96248"/>
    <w:rsid w:val="00A9704B"/>
    <w:rsid w:val="00A973CB"/>
    <w:rsid w:val="00A9749A"/>
    <w:rsid w:val="00AA11B1"/>
    <w:rsid w:val="00AA1F00"/>
    <w:rsid w:val="00AA2614"/>
    <w:rsid w:val="00AA2704"/>
    <w:rsid w:val="00AA384B"/>
    <w:rsid w:val="00AA4CF1"/>
    <w:rsid w:val="00AA4E6A"/>
    <w:rsid w:val="00AA6236"/>
    <w:rsid w:val="00AB18EA"/>
    <w:rsid w:val="00AB2A99"/>
    <w:rsid w:val="00AB5C72"/>
    <w:rsid w:val="00AB749A"/>
    <w:rsid w:val="00AC0CB9"/>
    <w:rsid w:val="00AC0D53"/>
    <w:rsid w:val="00AC2035"/>
    <w:rsid w:val="00AC3353"/>
    <w:rsid w:val="00AC33A2"/>
    <w:rsid w:val="00AC4748"/>
    <w:rsid w:val="00AC4876"/>
    <w:rsid w:val="00AC5640"/>
    <w:rsid w:val="00AC5662"/>
    <w:rsid w:val="00AC58AD"/>
    <w:rsid w:val="00AC6B60"/>
    <w:rsid w:val="00AC71D2"/>
    <w:rsid w:val="00AD067A"/>
    <w:rsid w:val="00AD0E47"/>
    <w:rsid w:val="00AD13A7"/>
    <w:rsid w:val="00AD1EC9"/>
    <w:rsid w:val="00AD4D28"/>
    <w:rsid w:val="00AD58BA"/>
    <w:rsid w:val="00AD5C40"/>
    <w:rsid w:val="00AD6867"/>
    <w:rsid w:val="00AD75F7"/>
    <w:rsid w:val="00AE07CE"/>
    <w:rsid w:val="00AE0C33"/>
    <w:rsid w:val="00AE0FF9"/>
    <w:rsid w:val="00AE11E9"/>
    <w:rsid w:val="00AE5945"/>
    <w:rsid w:val="00AE7BA6"/>
    <w:rsid w:val="00AF01EB"/>
    <w:rsid w:val="00AF04B0"/>
    <w:rsid w:val="00AF0E4A"/>
    <w:rsid w:val="00AF1180"/>
    <w:rsid w:val="00AF2B34"/>
    <w:rsid w:val="00AF2DDC"/>
    <w:rsid w:val="00AF30C5"/>
    <w:rsid w:val="00AF327B"/>
    <w:rsid w:val="00AF33F8"/>
    <w:rsid w:val="00AF4039"/>
    <w:rsid w:val="00AF43E9"/>
    <w:rsid w:val="00AF45D6"/>
    <w:rsid w:val="00AF480C"/>
    <w:rsid w:val="00AF4860"/>
    <w:rsid w:val="00AF6B8D"/>
    <w:rsid w:val="00B006C4"/>
    <w:rsid w:val="00B02E5E"/>
    <w:rsid w:val="00B04CD9"/>
    <w:rsid w:val="00B072D0"/>
    <w:rsid w:val="00B12860"/>
    <w:rsid w:val="00B14E45"/>
    <w:rsid w:val="00B154A6"/>
    <w:rsid w:val="00B16BB8"/>
    <w:rsid w:val="00B16D88"/>
    <w:rsid w:val="00B16EF5"/>
    <w:rsid w:val="00B1703F"/>
    <w:rsid w:val="00B17F5E"/>
    <w:rsid w:val="00B21309"/>
    <w:rsid w:val="00B22071"/>
    <w:rsid w:val="00B224BC"/>
    <w:rsid w:val="00B2329B"/>
    <w:rsid w:val="00B24EC7"/>
    <w:rsid w:val="00B254CC"/>
    <w:rsid w:val="00B30B19"/>
    <w:rsid w:val="00B3123A"/>
    <w:rsid w:val="00B316A8"/>
    <w:rsid w:val="00B31871"/>
    <w:rsid w:val="00B35897"/>
    <w:rsid w:val="00B36E25"/>
    <w:rsid w:val="00B37CA4"/>
    <w:rsid w:val="00B4045B"/>
    <w:rsid w:val="00B40974"/>
    <w:rsid w:val="00B40C87"/>
    <w:rsid w:val="00B40CAD"/>
    <w:rsid w:val="00B416E4"/>
    <w:rsid w:val="00B432BF"/>
    <w:rsid w:val="00B4360B"/>
    <w:rsid w:val="00B43A4D"/>
    <w:rsid w:val="00B44159"/>
    <w:rsid w:val="00B44901"/>
    <w:rsid w:val="00B45EE1"/>
    <w:rsid w:val="00B47B53"/>
    <w:rsid w:val="00B47D89"/>
    <w:rsid w:val="00B500F8"/>
    <w:rsid w:val="00B50258"/>
    <w:rsid w:val="00B506F4"/>
    <w:rsid w:val="00B509C4"/>
    <w:rsid w:val="00B56BC4"/>
    <w:rsid w:val="00B56D3E"/>
    <w:rsid w:val="00B57866"/>
    <w:rsid w:val="00B57B6B"/>
    <w:rsid w:val="00B60324"/>
    <w:rsid w:val="00B60634"/>
    <w:rsid w:val="00B60AC6"/>
    <w:rsid w:val="00B6135F"/>
    <w:rsid w:val="00B6242A"/>
    <w:rsid w:val="00B6339E"/>
    <w:rsid w:val="00B6434E"/>
    <w:rsid w:val="00B65E85"/>
    <w:rsid w:val="00B661E4"/>
    <w:rsid w:val="00B66661"/>
    <w:rsid w:val="00B66D9F"/>
    <w:rsid w:val="00B72596"/>
    <w:rsid w:val="00B76515"/>
    <w:rsid w:val="00B77AF0"/>
    <w:rsid w:val="00B8120E"/>
    <w:rsid w:val="00B82DE6"/>
    <w:rsid w:val="00B832AE"/>
    <w:rsid w:val="00B8548A"/>
    <w:rsid w:val="00B86FA5"/>
    <w:rsid w:val="00B87EA3"/>
    <w:rsid w:val="00B90AB2"/>
    <w:rsid w:val="00B91F6D"/>
    <w:rsid w:val="00B92BF6"/>
    <w:rsid w:val="00B9374B"/>
    <w:rsid w:val="00B948C8"/>
    <w:rsid w:val="00B96BEF"/>
    <w:rsid w:val="00BA3676"/>
    <w:rsid w:val="00BA3D38"/>
    <w:rsid w:val="00BA4877"/>
    <w:rsid w:val="00BA6CE4"/>
    <w:rsid w:val="00BB0917"/>
    <w:rsid w:val="00BB285D"/>
    <w:rsid w:val="00BC4CDF"/>
    <w:rsid w:val="00BC6173"/>
    <w:rsid w:val="00BC77F1"/>
    <w:rsid w:val="00BD28D2"/>
    <w:rsid w:val="00BD3965"/>
    <w:rsid w:val="00BD3CD0"/>
    <w:rsid w:val="00BD5AA5"/>
    <w:rsid w:val="00BD6813"/>
    <w:rsid w:val="00BD70A5"/>
    <w:rsid w:val="00BE1C3A"/>
    <w:rsid w:val="00BE42B7"/>
    <w:rsid w:val="00BE4502"/>
    <w:rsid w:val="00BF0E75"/>
    <w:rsid w:val="00BF142E"/>
    <w:rsid w:val="00BF367A"/>
    <w:rsid w:val="00BF40F7"/>
    <w:rsid w:val="00BF58DB"/>
    <w:rsid w:val="00BF6203"/>
    <w:rsid w:val="00BF70DF"/>
    <w:rsid w:val="00C0089E"/>
    <w:rsid w:val="00C00C99"/>
    <w:rsid w:val="00C01036"/>
    <w:rsid w:val="00C0366A"/>
    <w:rsid w:val="00C06D18"/>
    <w:rsid w:val="00C0783D"/>
    <w:rsid w:val="00C111A6"/>
    <w:rsid w:val="00C136A0"/>
    <w:rsid w:val="00C13AF8"/>
    <w:rsid w:val="00C1419A"/>
    <w:rsid w:val="00C14B54"/>
    <w:rsid w:val="00C15B51"/>
    <w:rsid w:val="00C17194"/>
    <w:rsid w:val="00C202A4"/>
    <w:rsid w:val="00C21818"/>
    <w:rsid w:val="00C22015"/>
    <w:rsid w:val="00C22819"/>
    <w:rsid w:val="00C272C1"/>
    <w:rsid w:val="00C279FA"/>
    <w:rsid w:val="00C30CCC"/>
    <w:rsid w:val="00C33600"/>
    <w:rsid w:val="00C36845"/>
    <w:rsid w:val="00C369E6"/>
    <w:rsid w:val="00C42992"/>
    <w:rsid w:val="00C43047"/>
    <w:rsid w:val="00C435C1"/>
    <w:rsid w:val="00C46318"/>
    <w:rsid w:val="00C467E0"/>
    <w:rsid w:val="00C46A52"/>
    <w:rsid w:val="00C46F0B"/>
    <w:rsid w:val="00C47F5D"/>
    <w:rsid w:val="00C5025C"/>
    <w:rsid w:val="00C50D1E"/>
    <w:rsid w:val="00C5282B"/>
    <w:rsid w:val="00C53C7D"/>
    <w:rsid w:val="00C572F7"/>
    <w:rsid w:val="00C62A8D"/>
    <w:rsid w:val="00C62AA3"/>
    <w:rsid w:val="00C630F9"/>
    <w:rsid w:val="00C63A31"/>
    <w:rsid w:val="00C646E1"/>
    <w:rsid w:val="00C65617"/>
    <w:rsid w:val="00C6621E"/>
    <w:rsid w:val="00C66368"/>
    <w:rsid w:val="00C67AEB"/>
    <w:rsid w:val="00C67C78"/>
    <w:rsid w:val="00C70A7F"/>
    <w:rsid w:val="00C749EC"/>
    <w:rsid w:val="00C75989"/>
    <w:rsid w:val="00C75B50"/>
    <w:rsid w:val="00C75F0F"/>
    <w:rsid w:val="00C75F9F"/>
    <w:rsid w:val="00C76746"/>
    <w:rsid w:val="00C769AA"/>
    <w:rsid w:val="00C774AE"/>
    <w:rsid w:val="00C77CF6"/>
    <w:rsid w:val="00C80354"/>
    <w:rsid w:val="00C84D92"/>
    <w:rsid w:val="00C86D91"/>
    <w:rsid w:val="00C86F60"/>
    <w:rsid w:val="00C9031B"/>
    <w:rsid w:val="00C9064B"/>
    <w:rsid w:val="00C90B8B"/>
    <w:rsid w:val="00C91836"/>
    <w:rsid w:val="00C91B70"/>
    <w:rsid w:val="00C91C21"/>
    <w:rsid w:val="00C92846"/>
    <w:rsid w:val="00C92E55"/>
    <w:rsid w:val="00C9395E"/>
    <w:rsid w:val="00C94E27"/>
    <w:rsid w:val="00C96FB4"/>
    <w:rsid w:val="00CA07E2"/>
    <w:rsid w:val="00CA12ED"/>
    <w:rsid w:val="00CA1F33"/>
    <w:rsid w:val="00CA34CC"/>
    <w:rsid w:val="00CA3630"/>
    <w:rsid w:val="00CA3637"/>
    <w:rsid w:val="00CA4FE8"/>
    <w:rsid w:val="00CA508D"/>
    <w:rsid w:val="00CA6F2C"/>
    <w:rsid w:val="00CA71D9"/>
    <w:rsid w:val="00CB0F7A"/>
    <w:rsid w:val="00CB147F"/>
    <w:rsid w:val="00CB3554"/>
    <w:rsid w:val="00CB35AF"/>
    <w:rsid w:val="00CB5541"/>
    <w:rsid w:val="00CB77AB"/>
    <w:rsid w:val="00CB77DC"/>
    <w:rsid w:val="00CB7D72"/>
    <w:rsid w:val="00CC0E51"/>
    <w:rsid w:val="00CC1F6F"/>
    <w:rsid w:val="00CC3C21"/>
    <w:rsid w:val="00CC3C85"/>
    <w:rsid w:val="00CC4018"/>
    <w:rsid w:val="00CC429C"/>
    <w:rsid w:val="00CC4602"/>
    <w:rsid w:val="00CC72DD"/>
    <w:rsid w:val="00CC750B"/>
    <w:rsid w:val="00CD04E6"/>
    <w:rsid w:val="00CD0613"/>
    <w:rsid w:val="00CD25C3"/>
    <w:rsid w:val="00CD28D5"/>
    <w:rsid w:val="00CD397C"/>
    <w:rsid w:val="00CD534E"/>
    <w:rsid w:val="00CD571D"/>
    <w:rsid w:val="00CD5A1C"/>
    <w:rsid w:val="00CD7A1C"/>
    <w:rsid w:val="00CE0660"/>
    <w:rsid w:val="00CE079D"/>
    <w:rsid w:val="00CE13F6"/>
    <w:rsid w:val="00CE214D"/>
    <w:rsid w:val="00CE296A"/>
    <w:rsid w:val="00CE4595"/>
    <w:rsid w:val="00CE60D7"/>
    <w:rsid w:val="00CE6B12"/>
    <w:rsid w:val="00CE7AD2"/>
    <w:rsid w:val="00CF009B"/>
    <w:rsid w:val="00CF13DF"/>
    <w:rsid w:val="00CF3216"/>
    <w:rsid w:val="00CF324B"/>
    <w:rsid w:val="00CF3673"/>
    <w:rsid w:val="00CF382E"/>
    <w:rsid w:val="00CF71E5"/>
    <w:rsid w:val="00CF74EE"/>
    <w:rsid w:val="00D0091B"/>
    <w:rsid w:val="00D0099C"/>
    <w:rsid w:val="00D026A3"/>
    <w:rsid w:val="00D02ECE"/>
    <w:rsid w:val="00D050AF"/>
    <w:rsid w:val="00D06184"/>
    <w:rsid w:val="00D07720"/>
    <w:rsid w:val="00D10E37"/>
    <w:rsid w:val="00D15B24"/>
    <w:rsid w:val="00D15C20"/>
    <w:rsid w:val="00D163DE"/>
    <w:rsid w:val="00D16893"/>
    <w:rsid w:val="00D214B2"/>
    <w:rsid w:val="00D21B9F"/>
    <w:rsid w:val="00D2318E"/>
    <w:rsid w:val="00D234BA"/>
    <w:rsid w:val="00D24BCD"/>
    <w:rsid w:val="00D24C81"/>
    <w:rsid w:val="00D26597"/>
    <w:rsid w:val="00D30068"/>
    <w:rsid w:val="00D31B7A"/>
    <w:rsid w:val="00D3322E"/>
    <w:rsid w:val="00D34B18"/>
    <w:rsid w:val="00D34E06"/>
    <w:rsid w:val="00D36D2C"/>
    <w:rsid w:val="00D36E9D"/>
    <w:rsid w:val="00D41A2C"/>
    <w:rsid w:val="00D41F23"/>
    <w:rsid w:val="00D4236D"/>
    <w:rsid w:val="00D42518"/>
    <w:rsid w:val="00D42900"/>
    <w:rsid w:val="00D43FB5"/>
    <w:rsid w:val="00D453FC"/>
    <w:rsid w:val="00D464B5"/>
    <w:rsid w:val="00D47AB9"/>
    <w:rsid w:val="00D50D3F"/>
    <w:rsid w:val="00D50E57"/>
    <w:rsid w:val="00D5488F"/>
    <w:rsid w:val="00D566EC"/>
    <w:rsid w:val="00D613E6"/>
    <w:rsid w:val="00D6144B"/>
    <w:rsid w:val="00D618E1"/>
    <w:rsid w:val="00D62F61"/>
    <w:rsid w:val="00D63C50"/>
    <w:rsid w:val="00D64149"/>
    <w:rsid w:val="00D641C9"/>
    <w:rsid w:val="00D6545A"/>
    <w:rsid w:val="00D67981"/>
    <w:rsid w:val="00D67F68"/>
    <w:rsid w:val="00D71326"/>
    <w:rsid w:val="00D73733"/>
    <w:rsid w:val="00D7592D"/>
    <w:rsid w:val="00D759D6"/>
    <w:rsid w:val="00D80D99"/>
    <w:rsid w:val="00D8468C"/>
    <w:rsid w:val="00D84FA6"/>
    <w:rsid w:val="00D856DE"/>
    <w:rsid w:val="00D8572F"/>
    <w:rsid w:val="00D8788B"/>
    <w:rsid w:val="00D87FE6"/>
    <w:rsid w:val="00D9052F"/>
    <w:rsid w:val="00D92C06"/>
    <w:rsid w:val="00D94018"/>
    <w:rsid w:val="00DA18A6"/>
    <w:rsid w:val="00DA2512"/>
    <w:rsid w:val="00DA2C20"/>
    <w:rsid w:val="00DA3078"/>
    <w:rsid w:val="00DA66A8"/>
    <w:rsid w:val="00DA7060"/>
    <w:rsid w:val="00DA772D"/>
    <w:rsid w:val="00DB366C"/>
    <w:rsid w:val="00DB5DDA"/>
    <w:rsid w:val="00DB76FE"/>
    <w:rsid w:val="00DC0446"/>
    <w:rsid w:val="00DC04D2"/>
    <w:rsid w:val="00DC192B"/>
    <w:rsid w:val="00DC2593"/>
    <w:rsid w:val="00DC4B06"/>
    <w:rsid w:val="00DC4C43"/>
    <w:rsid w:val="00DC52EF"/>
    <w:rsid w:val="00DC6E30"/>
    <w:rsid w:val="00DD18C3"/>
    <w:rsid w:val="00DD1BF4"/>
    <w:rsid w:val="00DD3879"/>
    <w:rsid w:val="00DD5437"/>
    <w:rsid w:val="00DD617F"/>
    <w:rsid w:val="00DE25E0"/>
    <w:rsid w:val="00DE2601"/>
    <w:rsid w:val="00DE2CB3"/>
    <w:rsid w:val="00DE3243"/>
    <w:rsid w:val="00DE3502"/>
    <w:rsid w:val="00DE406F"/>
    <w:rsid w:val="00DE407B"/>
    <w:rsid w:val="00DE4083"/>
    <w:rsid w:val="00DE43FE"/>
    <w:rsid w:val="00DE4846"/>
    <w:rsid w:val="00DE7245"/>
    <w:rsid w:val="00DF03DB"/>
    <w:rsid w:val="00DF0590"/>
    <w:rsid w:val="00DF0B89"/>
    <w:rsid w:val="00DF0D72"/>
    <w:rsid w:val="00DF2BD1"/>
    <w:rsid w:val="00DF2BFA"/>
    <w:rsid w:val="00DF3337"/>
    <w:rsid w:val="00DF36EB"/>
    <w:rsid w:val="00DF495C"/>
    <w:rsid w:val="00DF710C"/>
    <w:rsid w:val="00DF7478"/>
    <w:rsid w:val="00E01005"/>
    <w:rsid w:val="00E0115F"/>
    <w:rsid w:val="00E013DC"/>
    <w:rsid w:val="00E01D44"/>
    <w:rsid w:val="00E0220B"/>
    <w:rsid w:val="00E02419"/>
    <w:rsid w:val="00E033E9"/>
    <w:rsid w:val="00E033F1"/>
    <w:rsid w:val="00E03D22"/>
    <w:rsid w:val="00E052E0"/>
    <w:rsid w:val="00E0655F"/>
    <w:rsid w:val="00E0679F"/>
    <w:rsid w:val="00E10636"/>
    <w:rsid w:val="00E11B2E"/>
    <w:rsid w:val="00E11FC6"/>
    <w:rsid w:val="00E122E2"/>
    <w:rsid w:val="00E13570"/>
    <w:rsid w:val="00E1361B"/>
    <w:rsid w:val="00E14D12"/>
    <w:rsid w:val="00E1507A"/>
    <w:rsid w:val="00E15998"/>
    <w:rsid w:val="00E15B98"/>
    <w:rsid w:val="00E1627A"/>
    <w:rsid w:val="00E1662E"/>
    <w:rsid w:val="00E206E9"/>
    <w:rsid w:val="00E20AFA"/>
    <w:rsid w:val="00E2189F"/>
    <w:rsid w:val="00E21D78"/>
    <w:rsid w:val="00E232A8"/>
    <w:rsid w:val="00E2361D"/>
    <w:rsid w:val="00E2410D"/>
    <w:rsid w:val="00E24A74"/>
    <w:rsid w:val="00E254B3"/>
    <w:rsid w:val="00E259C1"/>
    <w:rsid w:val="00E31A56"/>
    <w:rsid w:val="00E33A39"/>
    <w:rsid w:val="00E350F6"/>
    <w:rsid w:val="00E35B90"/>
    <w:rsid w:val="00E35EB3"/>
    <w:rsid w:val="00E361B2"/>
    <w:rsid w:val="00E36C14"/>
    <w:rsid w:val="00E36C66"/>
    <w:rsid w:val="00E4028E"/>
    <w:rsid w:val="00E40E0D"/>
    <w:rsid w:val="00E42C10"/>
    <w:rsid w:val="00E43BE8"/>
    <w:rsid w:val="00E453C9"/>
    <w:rsid w:val="00E46355"/>
    <w:rsid w:val="00E507FD"/>
    <w:rsid w:val="00E50BBF"/>
    <w:rsid w:val="00E51A26"/>
    <w:rsid w:val="00E51D1E"/>
    <w:rsid w:val="00E52A04"/>
    <w:rsid w:val="00E541A5"/>
    <w:rsid w:val="00E541E1"/>
    <w:rsid w:val="00E5523E"/>
    <w:rsid w:val="00E568BE"/>
    <w:rsid w:val="00E60B88"/>
    <w:rsid w:val="00E612A4"/>
    <w:rsid w:val="00E61D79"/>
    <w:rsid w:val="00E629EC"/>
    <w:rsid w:val="00E638B2"/>
    <w:rsid w:val="00E645E3"/>
    <w:rsid w:val="00E71428"/>
    <w:rsid w:val="00E719F4"/>
    <w:rsid w:val="00E73ACA"/>
    <w:rsid w:val="00E7401C"/>
    <w:rsid w:val="00E747F6"/>
    <w:rsid w:val="00E7481A"/>
    <w:rsid w:val="00E756DC"/>
    <w:rsid w:val="00E77D6E"/>
    <w:rsid w:val="00E800BD"/>
    <w:rsid w:val="00E80A6C"/>
    <w:rsid w:val="00E80E53"/>
    <w:rsid w:val="00E8118B"/>
    <w:rsid w:val="00E8188D"/>
    <w:rsid w:val="00E84199"/>
    <w:rsid w:val="00E842C9"/>
    <w:rsid w:val="00E86676"/>
    <w:rsid w:val="00E8776F"/>
    <w:rsid w:val="00E91839"/>
    <w:rsid w:val="00E9189C"/>
    <w:rsid w:val="00E9666E"/>
    <w:rsid w:val="00E978E2"/>
    <w:rsid w:val="00E979BB"/>
    <w:rsid w:val="00E97EB9"/>
    <w:rsid w:val="00EA0417"/>
    <w:rsid w:val="00EA066E"/>
    <w:rsid w:val="00EA06EC"/>
    <w:rsid w:val="00EA2D63"/>
    <w:rsid w:val="00EA3693"/>
    <w:rsid w:val="00EA37EA"/>
    <w:rsid w:val="00EA3C21"/>
    <w:rsid w:val="00EA69EB"/>
    <w:rsid w:val="00EB19E7"/>
    <w:rsid w:val="00EB5F47"/>
    <w:rsid w:val="00EB7D47"/>
    <w:rsid w:val="00EB7FF0"/>
    <w:rsid w:val="00EC1026"/>
    <w:rsid w:val="00EC2426"/>
    <w:rsid w:val="00EC24F3"/>
    <w:rsid w:val="00EC3D3D"/>
    <w:rsid w:val="00EC6507"/>
    <w:rsid w:val="00EC7698"/>
    <w:rsid w:val="00EC7A5C"/>
    <w:rsid w:val="00EC7E5D"/>
    <w:rsid w:val="00ED0449"/>
    <w:rsid w:val="00ED0C28"/>
    <w:rsid w:val="00ED1AFD"/>
    <w:rsid w:val="00ED1C05"/>
    <w:rsid w:val="00ED1C30"/>
    <w:rsid w:val="00ED2C5E"/>
    <w:rsid w:val="00ED2C8F"/>
    <w:rsid w:val="00ED3723"/>
    <w:rsid w:val="00ED6D03"/>
    <w:rsid w:val="00EE07CE"/>
    <w:rsid w:val="00EE2142"/>
    <w:rsid w:val="00EE2CF1"/>
    <w:rsid w:val="00EE43B6"/>
    <w:rsid w:val="00EE6402"/>
    <w:rsid w:val="00EE6824"/>
    <w:rsid w:val="00EF5EEC"/>
    <w:rsid w:val="00F01789"/>
    <w:rsid w:val="00F02150"/>
    <w:rsid w:val="00F0275D"/>
    <w:rsid w:val="00F0281E"/>
    <w:rsid w:val="00F0337F"/>
    <w:rsid w:val="00F0414F"/>
    <w:rsid w:val="00F04D91"/>
    <w:rsid w:val="00F11725"/>
    <w:rsid w:val="00F126B8"/>
    <w:rsid w:val="00F12802"/>
    <w:rsid w:val="00F13ED0"/>
    <w:rsid w:val="00F14424"/>
    <w:rsid w:val="00F14C40"/>
    <w:rsid w:val="00F161A0"/>
    <w:rsid w:val="00F161F8"/>
    <w:rsid w:val="00F17E41"/>
    <w:rsid w:val="00F17F5B"/>
    <w:rsid w:val="00F202AB"/>
    <w:rsid w:val="00F25100"/>
    <w:rsid w:val="00F268AC"/>
    <w:rsid w:val="00F27154"/>
    <w:rsid w:val="00F277F9"/>
    <w:rsid w:val="00F31F12"/>
    <w:rsid w:val="00F3209D"/>
    <w:rsid w:val="00F3380C"/>
    <w:rsid w:val="00F33D18"/>
    <w:rsid w:val="00F342E0"/>
    <w:rsid w:val="00F342FC"/>
    <w:rsid w:val="00F40345"/>
    <w:rsid w:val="00F44F33"/>
    <w:rsid w:val="00F478EF"/>
    <w:rsid w:val="00F53E3C"/>
    <w:rsid w:val="00F60212"/>
    <w:rsid w:val="00F606C5"/>
    <w:rsid w:val="00F6166C"/>
    <w:rsid w:val="00F62A72"/>
    <w:rsid w:val="00F6463B"/>
    <w:rsid w:val="00F64892"/>
    <w:rsid w:val="00F64976"/>
    <w:rsid w:val="00F64A90"/>
    <w:rsid w:val="00F64FAF"/>
    <w:rsid w:val="00F65189"/>
    <w:rsid w:val="00F6663C"/>
    <w:rsid w:val="00F6685D"/>
    <w:rsid w:val="00F673B2"/>
    <w:rsid w:val="00F6784E"/>
    <w:rsid w:val="00F701F3"/>
    <w:rsid w:val="00F71A9F"/>
    <w:rsid w:val="00F72DA9"/>
    <w:rsid w:val="00F736FC"/>
    <w:rsid w:val="00F7377F"/>
    <w:rsid w:val="00F7418F"/>
    <w:rsid w:val="00F765B6"/>
    <w:rsid w:val="00F766D6"/>
    <w:rsid w:val="00F811FE"/>
    <w:rsid w:val="00F81BD2"/>
    <w:rsid w:val="00F82518"/>
    <w:rsid w:val="00F83029"/>
    <w:rsid w:val="00F841D0"/>
    <w:rsid w:val="00F85369"/>
    <w:rsid w:val="00F93B50"/>
    <w:rsid w:val="00F94000"/>
    <w:rsid w:val="00F94F2D"/>
    <w:rsid w:val="00FA27F3"/>
    <w:rsid w:val="00FA28E3"/>
    <w:rsid w:val="00FA30B3"/>
    <w:rsid w:val="00FA3ADE"/>
    <w:rsid w:val="00FA3C10"/>
    <w:rsid w:val="00FA570B"/>
    <w:rsid w:val="00FA5DA6"/>
    <w:rsid w:val="00FB019E"/>
    <w:rsid w:val="00FB09BC"/>
    <w:rsid w:val="00FB161B"/>
    <w:rsid w:val="00FB23D6"/>
    <w:rsid w:val="00FB2FD9"/>
    <w:rsid w:val="00FB52A4"/>
    <w:rsid w:val="00FB5D08"/>
    <w:rsid w:val="00FB63C8"/>
    <w:rsid w:val="00FB6897"/>
    <w:rsid w:val="00FB6DCD"/>
    <w:rsid w:val="00FB6ECC"/>
    <w:rsid w:val="00FB722A"/>
    <w:rsid w:val="00FB7A07"/>
    <w:rsid w:val="00FB7A3E"/>
    <w:rsid w:val="00FB7C1C"/>
    <w:rsid w:val="00FC0642"/>
    <w:rsid w:val="00FC2284"/>
    <w:rsid w:val="00FC2FFE"/>
    <w:rsid w:val="00FC379E"/>
    <w:rsid w:val="00FC3A09"/>
    <w:rsid w:val="00FC415C"/>
    <w:rsid w:val="00FC76AE"/>
    <w:rsid w:val="00FD08DC"/>
    <w:rsid w:val="00FD1627"/>
    <w:rsid w:val="00FD5ECC"/>
    <w:rsid w:val="00FD68BE"/>
    <w:rsid w:val="00FD733D"/>
    <w:rsid w:val="00FE0B19"/>
    <w:rsid w:val="00FE0F67"/>
    <w:rsid w:val="00FE1C9E"/>
    <w:rsid w:val="00FE4516"/>
    <w:rsid w:val="00FE4CE0"/>
    <w:rsid w:val="00FE6B70"/>
    <w:rsid w:val="00FE6E5E"/>
    <w:rsid w:val="00FF091F"/>
    <w:rsid w:val="00FF1AA5"/>
    <w:rsid w:val="00FF1B7D"/>
    <w:rsid w:val="00FF2F42"/>
    <w:rsid w:val="00FF6148"/>
    <w:rsid w:val="00FF6AE2"/>
    <w:rsid w:val="00FF6C6B"/>
    <w:rsid w:val="00FF70BB"/>
    <w:rsid w:val="00FF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9375B"/>
  <w15:chartTrackingRefBased/>
  <w15:docId w15:val="{9F9F8F33-BD96-4BFC-9BF2-AB146ACC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5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6C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6660"/>
    <w:pPr>
      <w:spacing w:before="100" w:beforeAutospacing="1" w:after="100" w:afterAutospacing="1" w:line="240" w:lineRule="auto"/>
    </w:pPr>
    <w:rPr>
      <w:rFonts w:ascii="Verdana" w:eastAsia="Times New Roman" w:hAnsi="Verdana" w:cs="Times New Roman"/>
      <w:color w:val="000000"/>
      <w:sz w:val="20"/>
      <w:szCs w:val="20"/>
    </w:rPr>
  </w:style>
  <w:style w:type="paragraph" w:styleId="BodyText">
    <w:name w:val="Body Text"/>
    <w:basedOn w:val="Normal"/>
    <w:link w:val="BodyTextChar"/>
    <w:uiPriority w:val="1"/>
    <w:qFormat/>
    <w:rsid w:val="005A6660"/>
    <w:pPr>
      <w:widowControl w:val="0"/>
      <w:spacing w:after="0" w:line="240" w:lineRule="auto"/>
      <w:ind w:left="100"/>
    </w:pPr>
    <w:rPr>
      <w:rFonts w:ascii="Arial" w:eastAsia="Arial" w:hAnsi="Arial"/>
      <w:sz w:val="18"/>
      <w:szCs w:val="18"/>
    </w:rPr>
  </w:style>
  <w:style w:type="character" w:customStyle="1" w:styleId="BodyTextChar">
    <w:name w:val="Body Text Char"/>
    <w:basedOn w:val="DefaultParagraphFont"/>
    <w:link w:val="BodyText"/>
    <w:uiPriority w:val="1"/>
    <w:rsid w:val="005A6660"/>
    <w:rPr>
      <w:rFonts w:ascii="Arial" w:eastAsia="Arial" w:hAnsi="Arial"/>
      <w:sz w:val="18"/>
      <w:szCs w:val="18"/>
    </w:rPr>
  </w:style>
  <w:style w:type="character" w:styleId="CommentReference">
    <w:name w:val="annotation reference"/>
    <w:basedOn w:val="DefaultParagraphFont"/>
    <w:uiPriority w:val="99"/>
    <w:semiHidden/>
    <w:unhideWhenUsed/>
    <w:rsid w:val="004F0519"/>
    <w:rPr>
      <w:sz w:val="16"/>
      <w:szCs w:val="16"/>
    </w:rPr>
  </w:style>
  <w:style w:type="paragraph" w:styleId="CommentText">
    <w:name w:val="annotation text"/>
    <w:basedOn w:val="Normal"/>
    <w:link w:val="CommentTextChar"/>
    <w:uiPriority w:val="99"/>
    <w:unhideWhenUsed/>
    <w:rsid w:val="004F0519"/>
    <w:pPr>
      <w:spacing w:line="240" w:lineRule="auto"/>
    </w:pPr>
    <w:rPr>
      <w:sz w:val="20"/>
      <w:szCs w:val="20"/>
    </w:rPr>
  </w:style>
  <w:style w:type="character" w:customStyle="1" w:styleId="CommentTextChar">
    <w:name w:val="Comment Text Char"/>
    <w:basedOn w:val="DefaultParagraphFont"/>
    <w:link w:val="CommentText"/>
    <w:uiPriority w:val="99"/>
    <w:rsid w:val="004F0519"/>
    <w:rPr>
      <w:sz w:val="20"/>
      <w:szCs w:val="20"/>
    </w:rPr>
  </w:style>
  <w:style w:type="paragraph" w:styleId="CommentSubject">
    <w:name w:val="annotation subject"/>
    <w:basedOn w:val="CommentText"/>
    <w:next w:val="CommentText"/>
    <w:link w:val="CommentSubjectChar"/>
    <w:uiPriority w:val="99"/>
    <w:semiHidden/>
    <w:unhideWhenUsed/>
    <w:rsid w:val="004F0519"/>
    <w:rPr>
      <w:b/>
      <w:bCs/>
    </w:rPr>
  </w:style>
  <w:style w:type="character" w:customStyle="1" w:styleId="CommentSubjectChar">
    <w:name w:val="Comment Subject Char"/>
    <w:basedOn w:val="CommentTextChar"/>
    <w:link w:val="CommentSubject"/>
    <w:uiPriority w:val="99"/>
    <w:semiHidden/>
    <w:rsid w:val="004F0519"/>
    <w:rPr>
      <w:b/>
      <w:bCs/>
      <w:sz w:val="20"/>
      <w:szCs w:val="20"/>
    </w:rPr>
  </w:style>
  <w:style w:type="paragraph" w:styleId="BalloonText">
    <w:name w:val="Balloon Text"/>
    <w:basedOn w:val="Normal"/>
    <w:link w:val="BalloonTextChar"/>
    <w:uiPriority w:val="99"/>
    <w:semiHidden/>
    <w:unhideWhenUsed/>
    <w:rsid w:val="004F0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519"/>
    <w:rPr>
      <w:rFonts w:ascii="Segoe UI" w:hAnsi="Segoe UI" w:cs="Segoe UI"/>
      <w:sz w:val="18"/>
      <w:szCs w:val="18"/>
    </w:rPr>
  </w:style>
  <w:style w:type="paragraph" w:styleId="Revision">
    <w:name w:val="Revision"/>
    <w:hidden/>
    <w:uiPriority w:val="99"/>
    <w:semiHidden/>
    <w:rsid w:val="007071A3"/>
    <w:pPr>
      <w:spacing w:after="0" w:line="240" w:lineRule="auto"/>
    </w:pPr>
  </w:style>
  <w:style w:type="paragraph" w:styleId="ListParagraph">
    <w:name w:val="List Paragraph"/>
    <w:basedOn w:val="Normal"/>
    <w:uiPriority w:val="34"/>
    <w:qFormat/>
    <w:rsid w:val="00177850"/>
    <w:pPr>
      <w:ind w:left="720"/>
      <w:contextualSpacing/>
    </w:pPr>
  </w:style>
  <w:style w:type="paragraph" w:styleId="Header">
    <w:name w:val="header"/>
    <w:basedOn w:val="Normal"/>
    <w:link w:val="HeaderChar"/>
    <w:uiPriority w:val="99"/>
    <w:unhideWhenUsed/>
    <w:rsid w:val="00FC2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FFE"/>
  </w:style>
  <w:style w:type="paragraph" w:styleId="Footer">
    <w:name w:val="footer"/>
    <w:basedOn w:val="Normal"/>
    <w:link w:val="FooterChar"/>
    <w:uiPriority w:val="99"/>
    <w:unhideWhenUsed/>
    <w:rsid w:val="00FC2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FFE"/>
  </w:style>
  <w:style w:type="character" w:styleId="Emphasis">
    <w:name w:val="Emphasis"/>
    <w:basedOn w:val="DefaultParagraphFont"/>
    <w:uiPriority w:val="20"/>
    <w:qFormat/>
    <w:rsid w:val="00762576"/>
    <w:rPr>
      <w:i/>
      <w:iCs/>
    </w:rPr>
  </w:style>
  <w:style w:type="character" w:customStyle="1" w:styleId="Heading2Char">
    <w:name w:val="Heading 2 Char"/>
    <w:basedOn w:val="DefaultParagraphFont"/>
    <w:link w:val="Heading2"/>
    <w:uiPriority w:val="9"/>
    <w:rsid w:val="00FF6C6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D35C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517424"/>
    <w:rPr>
      <w:rFonts w:ascii="OpenSans-Semibold" w:hAnsi="OpenSans-Semibold" w:hint="default"/>
      <w:b/>
      <w:bCs/>
    </w:rPr>
  </w:style>
  <w:style w:type="character" w:styleId="Hyperlink">
    <w:name w:val="Hyperlink"/>
    <w:aliases w:val="Deloitte Hyperlink"/>
    <w:basedOn w:val="DefaultParagraphFont"/>
    <w:uiPriority w:val="99"/>
    <w:unhideWhenUsed/>
    <w:qFormat/>
    <w:rsid w:val="00115080"/>
    <w:rPr>
      <w:strike w:val="0"/>
      <w:dstrike w:val="0"/>
      <w:color w:val="00A3E0"/>
      <w:u w:val="none"/>
      <w:effect w:val="none"/>
      <w:shd w:val="clear" w:color="auto" w:fill="auto"/>
    </w:rPr>
  </w:style>
  <w:style w:type="character" w:customStyle="1" w:styleId="sfragbrackets">
    <w:name w:val="sfrag_brackets"/>
    <w:basedOn w:val="DefaultParagraphFont"/>
    <w:rsid w:val="00DE406F"/>
  </w:style>
  <w:style w:type="character" w:customStyle="1" w:styleId="sfragdata">
    <w:name w:val="sfragdata"/>
    <w:basedOn w:val="DefaultParagraphFont"/>
    <w:rsid w:val="00DE406F"/>
  </w:style>
  <w:style w:type="paragraph" w:customStyle="1" w:styleId="PABullet1">
    <w:name w:val="PA Bullet 1"/>
    <w:basedOn w:val="Normal"/>
    <w:uiPriority w:val="1"/>
    <w:qFormat/>
    <w:rsid w:val="000B1498"/>
    <w:pPr>
      <w:spacing w:before="120" w:after="120" w:line="200" w:lineRule="atLeast"/>
    </w:pPr>
    <w:rPr>
      <w:rFonts w:ascii="Verdana" w:hAnsi="Verdana"/>
      <w:sz w:val="18"/>
      <w:szCs w:val="18"/>
      <w:lang w:val="en-GB"/>
    </w:rPr>
  </w:style>
  <w:style w:type="character" w:styleId="UnresolvedMention">
    <w:name w:val="Unresolved Mention"/>
    <w:basedOn w:val="DefaultParagraphFont"/>
    <w:uiPriority w:val="99"/>
    <w:semiHidden/>
    <w:unhideWhenUsed/>
    <w:rsid w:val="00347D12"/>
    <w:rPr>
      <w:color w:val="605E5C"/>
      <w:shd w:val="clear" w:color="auto" w:fill="E1DFDD"/>
    </w:rPr>
  </w:style>
  <w:style w:type="paragraph" w:customStyle="1" w:styleId="PABulletLink75IND">
    <w:name w:val="PA_Bullet_Link_.75IND"/>
    <w:basedOn w:val="PABullet1"/>
    <w:uiPriority w:val="1"/>
    <w:qFormat/>
    <w:rsid w:val="00A85E99"/>
    <w:pPr>
      <w:spacing w:line="240" w:lineRule="atLeast"/>
      <w:ind w:left="720" w:hanging="360"/>
    </w:pPr>
    <w:rPr>
      <w:rFonts w:ascii="Calibri" w:hAnsi="Calibri" w:cs="Calibri"/>
      <w:color w:val="000000"/>
      <w:sz w:val="22"/>
      <w:shd w:val="clear" w:color="auto" w:fill="FFFFFF"/>
    </w:rPr>
  </w:style>
  <w:style w:type="character" w:styleId="FollowedHyperlink">
    <w:name w:val="FollowedHyperlink"/>
    <w:basedOn w:val="DefaultParagraphFont"/>
    <w:uiPriority w:val="99"/>
    <w:semiHidden/>
    <w:unhideWhenUsed/>
    <w:rsid w:val="00991FC0"/>
    <w:rPr>
      <w:color w:val="954F72" w:themeColor="followedHyperlink"/>
      <w:u w:val="single"/>
    </w:rPr>
  </w:style>
  <w:style w:type="character" w:customStyle="1" w:styleId="anyCharacter">
    <w:name w:val="any Character"/>
    <w:basedOn w:val="DefaultParagraphFont"/>
    <w:rsid w:val="006D046D"/>
    <w:rPr>
      <w:rFonts w:ascii="Calibri Light" w:hAnsi="Calibri Light" w:cs="Calibri Light" w:hint="default"/>
    </w:rPr>
  </w:style>
  <w:style w:type="paragraph" w:styleId="FootnoteText">
    <w:name w:val="footnote text"/>
    <w:basedOn w:val="Normal"/>
    <w:link w:val="FootnoteTextChar"/>
    <w:uiPriority w:val="99"/>
    <w:rsid w:val="006D046D"/>
    <w:pPr>
      <w:widowControl w:val="0"/>
      <w:autoSpaceDE w:val="0"/>
      <w:autoSpaceDN w:val="0"/>
      <w:spacing w:before="120" w:after="120" w:line="200" w:lineRule="atLeast"/>
      <w:ind w:left="360" w:hanging="360"/>
    </w:pPr>
    <w:rPr>
      <w:rFonts w:ascii="Calibri" w:eastAsia="Verdana" w:hAnsi="Calibri" w:cs="Verdana"/>
      <w:sz w:val="16"/>
      <w:szCs w:val="20"/>
      <w:lang w:val="x-none" w:eastAsia="x-none"/>
    </w:rPr>
  </w:style>
  <w:style w:type="character" w:customStyle="1" w:styleId="FootnoteTextChar">
    <w:name w:val="Footnote Text Char"/>
    <w:basedOn w:val="DefaultParagraphFont"/>
    <w:link w:val="FootnoteText"/>
    <w:uiPriority w:val="99"/>
    <w:rsid w:val="006D046D"/>
    <w:rPr>
      <w:rFonts w:ascii="Calibri" w:eastAsia="Verdana" w:hAnsi="Calibri" w:cs="Verdana"/>
      <w:sz w:val="16"/>
      <w:szCs w:val="20"/>
      <w:lang w:val="x-none" w:eastAsia="x-none"/>
    </w:rPr>
  </w:style>
  <w:style w:type="character" w:styleId="FootnoteReference">
    <w:name w:val="footnote reference"/>
    <w:rsid w:val="006D046D"/>
    <w:rPr>
      <w:vertAlign w:val="superscript"/>
    </w:rPr>
  </w:style>
  <w:style w:type="character" w:customStyle="1" w:styleId="documentlip1">
    <w:name w:val="document_li_p1"/>
    <w:basedOn w:val="pdocumentul1"/>
    <w:rsid w:val="006D046D"/>
    <w:rPr>
      <w:rFonts w:ascii="Calibri" w:hAnsi="Calibri" w:cs="Arial"/>
      <w:color w:val="000000" w:themeColor="text1"/>
      <w:sz w:val="22"/>
      <w:szCs w:val="18"/>
    </w:rPr>
  </w:style>
  <w:style w:type="character" w:customStyle="1" w:styleId="pdocumentul1">
    <w:name w:val="p_document_ul1"/>
    <w:basedOn w:val="DefaultParagraphFont"/>
    <w:rsid w:val="006D046D"/>
    <w:rPr>
      <w:color w:val="000000" w:themeColor="text1"/>
    </w:rPr>
  </w:style>
  <w:style w:type="paragraph" w:customStyle="1" w:styleId="PAH2">
    <w:name w:val="PA H2"/>
    <w:basedOn w:val="Heading2"/>
    <w:qFormat/>
    <w:rsid w:val="006D046D"/>
    <w:pPr>
      <w:keepLines w:val="0"/>
      <w:widowControl w:val="0"/>
      <w:tabs>
        <w:tab w:val="left" w:pos="180"/>
      </w:tabs>
      <w:spacing w:before="240" w:after="240" w:line="240" w:lineRule="atLeast"/>
    </w:pPr>
    <w:rPr>
      <w:rFonts w:ascii="Calibri" w:hAnsi="Calibri"/>
      <w:bCs/>
      <w:i/>
      <w:iCs/>
      <w:color w:val="A5A5A5" w:themeColor="accent3"/>
      <w:sz w:val="32"/>
      <w:szCs w:val="40"/>
    </w:rPr>
  </w:style>
  <w:style w:type="paragraph" w:customStyle="1" w:styleId="PGADateSubtitle">
    <w:name w:val="PGA Date Subtitle"/>
    <w:basedOn w:val="Normal"/>
    <w:link w:val="PGADateSubtitleChar"/>
    <w:qFormat/>
    <w:rsid w:val="00CD571D"/>
    <w:pPr>
      <w:widowControl w:val="0"/>
      <w:autoSpaceDE w:val="0"/>
      <w:autoSpaceDN w:val="0"/>
      <w:spacing w:before="120" w:after="0" w:line="240" w:lineRule="atLeast"/>
    </w:pPr>
    <w:rPr>
      <w:rFonts w:ascii="Verdana" w:eastAsia="Verdana" w:hAnsi="Verdana" w:cs="Verdana"/>
      <w:sz w:val="40"/>
    </w:rPr>
  </w:style>
  <w:style w:type="character" w:customStyle="1" w:styleId="PGADateSubtitleChar">
    <w:name w:val="PGA Date Subtitle Char"/>
    <w:basedOn w:val="DefaultParagraphFont"/>
    <w:link w:val="PGADateSubtitle"/>
    <w:rsid w:val="00CD571D"/>
    <w:rPr>
      <w:rFonts w:ascii="Verdana" w:eastAsia="Verdana" w:hAnsi="Verdana" w:cs="Verdana"/>
      <w:sz w:val="40"/>
    </w:rPr>
  </w:style>
  <w:style w:type="paragraph" w:customStyle="1" w:styleId="Legaltext">
    <w:name w:val="Legal text"/>
    <w:basedOn w:val="Normal"/>
    <w:qFormat/>
    <w:rsid w:val="00194E0F"/>
    <w:pPr>
      <w:widowControl w:val="0"/>
      <w:autoSpaceDE w:val="0"/>
      <w:autoSpaceDN w:val="0"/>
      <w:spacing w:after="240" w:line="180" w:lineRule="atLeast"/>
      <w:ind w:right="5387"/>
    </w:pPr>
    <w:rPr>
      <w:sz w:val="14"/>
      <w:lang w:val="en-GB"/>
    </w:rPr>
  </w:style>
  <w:style w:type="paragraph" w:customStyle="1" w:styleId="DeloitteHeaderFooter">
    <w:name w:val="Deloitte_Header_Footer"/>
    <w:basedOn w:val="Normal"/>
    <w:link w:val="DeloitteHeaderFooterChar"/>
    <w:qFormat/>
    <w:rsid w:val="00FB7C1C"/>
    <w:pPr>
      <w:tabs>
        <w:tab w:val="center" w:pos="4680"/>
        <w:tab w:val="right" w:pos="9360"/>
      </w:tabs>
      <w:spacing w:before="120" w:after="120" w:line="240" w:lineRule="atLeast"/>
    </w:pPr>
    <w:rPr>
      <w:rFonts w:ascii="Calibri" w:eastAsia="Times New Roman" w:hAnsi="Calibri"/>
      <w:noProof/>
      <w:sz w:val="16"/>
    </w:rPr>
  </w:style>
  <w:style w:type="character" w:customStyle="1" w:styleId="DeloitteHeaderFooterChar">
    <w:name w:val="Deloitte_Header_Footer Char"/>
    <w:basedOn w:val="DefaultParagraphFont"/>
    <w:link w:val="DeloitteHeaderFooter"/>
    <w:rsid w:val="00FB7C1C"/>
    <w:rPr>
      <w:rFonts w:ascii="Calibri" w:eastAsia="Times New Roman" w:hAnsi="Calibri"/>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626">
      <w:bodyDiv w:val="1"/>
      <w:marLeft w:val="0"/>
      <w:marRight w:val="0"/>
      <w:marTop w:val="0"/>
      <w:marBottom w:val="0"/>
      <w:divBdr>
        <w:top w:val="none" w:sz="0" w:space="0" w:color="auto"/>
        <w:left w:val="none" w:sz="0" w:space="0" w:color="auto"/>
        <w:bottom w:val="none" w:sz="0" w:space="0" w:color="auto"/>
        <w:right w:val="none" w:sz="0" w:space="0" w:color="auto"/>
      </w:divBdr>
      <w:divsChild>
        <w:div w:id="1759713308">
          <w:marLeft w:val="0"/>
          <w:marRight w:val="0"/>
          <w:marTop w:val="0"/>
          <w:marBottom w:val="0"/>
          <w:divBdr>
            <w:top w:val="none" w:sz="0" w:space="0" w:color="auto"/>
            <w:left w:val="none" w:sz="0" w:space="0" w:color="auto"/>
            <w:bottom w:val="none" w:sz="0" w:space="0" w:color="auto"/>
            <w:right w:val="none" w:sz="0" w:space="0" w:color="auto"/>
          </w:divBdr>
        </w:div>
      </w:divsChild>
    </w:div>
    <w:div w:id="83769776">
      <w:bodyDiv w:val="1"/>
      <w:marLeft w:val="0"/>
      <w:marRight w:val="0"/>
      <w:marTop w:val="0"/>
      <w:marBottom w:val="0"/>
      <w:divBdr>
        <w:top w:val="none" w:sz="0" w:space="0" w:color="auto"/>
        <w:left w:val="none" w:sz="0" w:space="0" w:color="auto"/>
        <w:bottom w:val="none" w:sz="0" w:space="0" w:color="auto"/>
        <w:right w:val="none" w:sz="0" w:space="0" w:color="auto"/>
      </w:divBdr>
      <w:divsChild>
        <w:div w:id="1077172811">
          <w:marLeft w:val="0"/>
          <w:marRight w:val="0"/>
          <w:marTop w:val="0"/>
          <w:marBottom w:val="0"/>
          <w:divBdr>
            <w:top w:val="none" w:sz="0" w:space="0" w:color="auto"/>
            <w:left w:val="none" w:sz="0" w:space="0" w:color="auto"/>
            <w:bottom w:val="none" w:sz="0" w:space="0" w:color="auto"/>
            <w:right w:val="none" w:sz="0" w:space="0" w:color="auto"/>
          </w:divBdr>
        </w:div>
      </w:divsChild>
    </w:div>
    <w:div w:id="89813962">
      <w:bodyDiv w:val="1"/>
      <w:marLeft w:val="0"/>
      <w:marRight w:val="0"/>
      <w:marTop w:val="0"/>
      <w:marBottom w:val="0"/>
      <w:divBdr>
        <w:top w:val="none" w:sz="0" w:space="0" w:color="auto"/>
        <w:left w:val="none" w:sz="0" w:space="0" w:color="auto"/>
        <w:bottom w:val="none" w:sz="0" w:space="0" w:color="auto"/>
        <w:right w:val="none" w:sz="0" w:space="0" w:color="auto"/>
      </w:divBdr>
      <w:divsChild>
        <w:div w:id="2141725969">
          <w:marLeft w:val="0"/>
          <w:marRight w:val="0"/>
          <w:marTop w:val="0"/>
          <w:marBottom w:val="0"/>
          <w:divBdr>
            <w:top w:val="none" w:sz="0" w:space="0" w:color="auto"/>
            <w:left w:val="none" w:sz="0" w:space="0" w:color="auto"/>
            <w:bottom w:val="none" w:sz="0" w:space="0" w:color="auto"/>
            <w:right w:val="none" w:sz="0" w:space="0" w:color="auto"/>
          </w:divBdr>
        </w:div>
      </w:divsChild>
    </w:div>
    <w:div w:id="104815606">
      <w:bodyDiv w:val="1"/>
      <w:marLeft w:val="0"/>
      <w:marRight w:val="0"/>
      <w:marTop w:val="0"/>
      <w:marBottom w:val="0"/>
      <w:divBdr>
        <w:top w:val="none" w:sz="0" w:space="0" w:color="auto"/>
        <w:left w:val="none" w:sz="0" w:space="0" w:color="auto"/>
        <w:bottom w:val="none" w:sz="0" w:space="0" w:color="auto"/>
        <w:right w:val="none" w:sz="0" w:space="0" w:color="auto"/>
      </w:divBdr>
      <w:divsChild>
        <w:div w:id="81681545">
          <w:marLeft w:val="0"/>
          <w:marRight w:val="0"/>
          <w:marTop w:val="0"/>
          <w:marBottom w:val="0"/>
          <w:divBdr>
            <w:top w:val="none" w:sz="0" w:space="0" w:color="auto"/>
            <w:left w:val="none" w:sz="0" w:space="0" w:color="auto"/>
            <w:bottom w:val="none" w:sz="0" w:space="0" w:color="auto"/>
            <w:right w:val="none" w:sz="0" w:space="0" w:color="auto"/>
          </w:divBdr>
        </w:div>
      </w:divsChild>
    </w:div>
    <w:div w:id="192814477">
      <w:bodyDiv w:val="1"/>
      <w:marLeft w:val="0"/>
      <w:marRight w:val="0"/>
      <w:marTop w:val="0"/>
      <w:marBottom w:val="0"/>
      <w:divBdr>
        <w:top w:val="none" w:sz="0" w:space="0" w:color="auto"/>
        <w:left w:val="none" w:sz="0" w:space="0" w:color="auto"/>
        <w:bottom w:val="none" w:sz="0" w:space="0" w:color="auto"/>
        <w:right w:val="none" w:sz="0" w:space="0" w:color="auto"/>
      </w:divBdr>
      <w:divsChild>
        <w:div w:id="224530113">
          <w:marLeft w:val="0"/>
          <w:marRight w:val="0"/>
          <w:marTop w:val="0"/>
          <w:marBottom w:val="0"/>
          <w:divBdr>
            <w:top w:val="none" w:sz="0" w:space="0" w:color="auto"/>
            <w:left w:val="none" w:sz="0" w:space="0" w:color="auto"/>
            <w:bottom w:val="none" w:sz="0" w:space="0" w:color="auto"/>
            <w:right w:val="none" w:sz="0" w:space="0" w:color="auto"/>
          </w:divBdr>
        </w:div>
      </w:divsChild>
    </w:div>
    <w:div w:id="194850400">
      <w:bodyDiv w:val="1"/>
      <w:marLeft w:val="0"/>
      <w:marRight w:val="0"/>
      <w:marTop w:val="0"/>
      <w:marBottom w:val="0"/>
      <w:divBdr>
        <w:top w:val="none" w:sz="0" w:space="0" w:color="auto"/>
        <w:left w:val="none" w:sz="0" w:space="0" w:color="auto"/>
        <w:bottom w:val="none" w:sz="0" w:space="0" w:color="auto"/>
        <w:right w:val="none" w:sz="0" w:space="0" w:color="auto"/>
      </w:divBdr>
    </w:div>
    <w:div w:id="273438920">
      <w:bodyDiv w:val="1"/>
      <w:marLeft w:val="0"/>
      <w:marRight w:val="0"/>
      <w:marTop w:val="0"/>
      <w:marBottom w:val="0"/>
      <w:divBdr>
        <w:top w:val="none" w:sz="0" w:space="0" w:color="auto"/>
        <w:left w:val="none" w:sz="0" w:space="0" w:color="auto"/>
        <w:bottom w:val="none" w:sz="0" w:space="0" w:color="auto"/>
        <w:right w:val="none" w:sz="0" w:space="0" w:color="auto"/>
      </w:divBdr>
      <w:divsChild>
        <w:div w:id="674920644">
          <w:marLeft w:val="0"/>
          <w:marRight w:val="0"/>
          <w:marTop w:val="0"/>
          <w:marBottom w:val="0"/>
          <w:divBdr>
            <w:top w:val="none" w:sz="0" w:space="0" w:color="auto"/>
            <w:left w:val="none" w:sz="0" w:space="0" w:color="auto"/>
            <w:bottom w:val="none" w:sz="0" w:space="0" w:color="auto"/>
            <w:right w:val="none" w:sz="0" w:space="0" w:color="auto"/>
          </w:divBdr>
        </w:div>
      </w:divsChild>
    </w:div>
    <w:div w:id="306789810">
      <w:bodyDiv w:val="1"/>
      <w:marLeft w:val="0"/>
      <w:marRight w:val="0"/>
      <w:marTop w:val="0"/>
      <w:marBottom w:val="0"/>
      <w:divBdr>
        <w:top w:val="none" w:sz="0" w:space="0" w:color="auto"/>
        <w:left w:val="none" w:sz="0" w:space="0" w:color="auto"/>
        <w:bottom w:val="none" w:sz="0" w:space="0" w:color="auto"/>
        <w:right w:val="none" w:sz="0" w:space="0" w:color="auto"/>
      </w:divBdr>
      <w:divsChild>
        <w:div w:id="10187821">
          <w:marLeft w:val="0"/>
          <w:marRight w:val="0"/>
          <w:marTop w:val="0"/>
          <w:marBottom w:val="0"/>
          <w:divBdr>
            <w:top w:val="none" w:sz="0" w:space="0" w:color="auto"/>
            <w:left w:val="none" w:sz="0" w:space="0" w:color="auto"/>
            <w:bottom w:val="none" w:sz="0" w:space="0" w:color="auto"/>
            <w:right w:val="none" w:sz="0" w:space="0" w:color="auto"/>
          </w:divBdr>
        </w:div>
      </w:divsChild>
    </w:div>
    <w:div w:id="340812514">
      <w:bodyDiv w:val="1"/>
      <w:marLeft w:val="0"/>
      <w:marRight w:val="0"/>
      <w:marTop w:val="0"/>
      <w:marBottom w:val="0"/>
      <w:divBdr>
        <w:top w:val="none" w:sz="0" w:space="0" w:color="auto"/>
        <w:left w:val="none" w:sz="0" w:space="0" w:color="auto"/>
        <w:bottom w:val="none" w:sz="0" w:space="0" w:color="auto"/>
        <w:right w:val="none" w:sz="0" w:space="0" w:color="auto"/>
      </w:divBdr>
      <w:divsChild>
        <w:div w:id="2092703450">
          <w:marLeft w:val="0"/>
          <w:marRight w:val="0"/>
          <w:marTop w:val="0"/>
          <w:marBottom w:val="0"/>
          <w:divBdr>
            <w:top w:val="none" w:sz="0" w:space="0" w:color="auto"/>
            <w:left w:val="none" w:sz="0" w:space="0" w:color="auto"/>
            <w:bottom w:val="none" w:sz="0" w:space="0" w:color="auto"/>
            <w:right w:val="none" w:sz="0" w:space="0" w:color="auto"/>
          </w:divBdr>
        </w:div>
      </w:divsChild>
    </w:div>
    <w:div w:id="353388310">
      <w:bodyDiv w:val="1"/>
      <w:marLeft w:val="0"/>
      <w:marRight w:val="0"/>
      <w:marTop w:val="0"/>
      <w:marBottom w:val="0"/>
      <w:divBdr>
        <w:top w:val="none" w:sz="0" w:space="0" w:color="auto"/>
        <w:left w:val="none" w:sz="0" w:space="0" w:color="auto"/>
        <w:bottom w:val="none" w:sz="0" w:space="0" w:color="auto"/>
        <w:right w:val="none" w:sz="0" w:space="0" w:color="auto"/>
      </w:divBdr>
      <w:divsChild>
        <w:div w:id="988555000">
          <w:marLeft w:val="0"/>
          <w:marRight w:val="0"/>
          <w:marTop w:val="0"/>
          <w:marBottom w:val="0"/>
          <w:divBdr>
            <w:top w:val="none" w:sz="0" w:space="0" w:color="auto"/>
            <w:left w:val="none" w:sz="0" w:space="0" w:color="auto"/>
            <w:bottom w:val="none" w:sz="0" w:space="0" w:color="auto"/>
            <w:right w:val="none" w:sz="0" w:space="0" w:color="auto"/>
          </w:divBdr>
        </w:div>
      </w:divsChild>
    </w:div>
    <w:div w:id="376314935">
      <w:bodyDiv w:val="1"/>
      <w:marLeft w:val="0"/>
      <w:marRight w:val="0"/>
      <w:marTop w:val="0"/>
      <w:marBottom w:val="0"/>
      <w:divBdr>
        <w:top w:val="none" w:sz="0" w:space="0" w:color="auto"/>
        <w:left w:val="none" w:sz="0" w:space="0" w:color="auto"/>
        <w:bottom w:val="none" w:sz="0" w:space="0" w:color="auto"/>
        <w:right w:val="none" w:sz="0" w:space="0" w:color="auto"/>
      </w:divBdr>
    </w:div>
    <w:div w:id="473642377">
      <w:bodyDiv w:val="1"/>
      <w:marLeft w:val="0"/>
      <w:marRight w:val="0"/>
      <w:marTop w:val="0"/>
      <w:marBottom w:val="0"/>
      <w:divBdr>
        <w:top w:val="none" w:sz="0" w:space="0" w:color="auto"/>
        <w:left w:val="none" w:sz="0" w:space="0" w:color="auto"/>
        <w:bottom w:val="none" w:sz="0" w:space="0" w:color="auto"/>
        <w:right w:val="none" w:sz="0" w:space="0" w:color="auto"/>
      </w:divBdr>
    </w:div>
    <w:div w:id="509025530">
      <w:bodyDiv w:val="1"/>
      <w:marLeft w:val="0"/>
      <w:marRight w:val="0"/>
      <w:marTop w:val="0"/>
      <w:marBottom w:val="0"/>
      <w:divBdr>
        <w:top w:val="none" w:sz="0" w:space="0" w:color="auto"/>
        <w:left w:val="none" w:sz="0" w:space="0" w:color="auto"/>
        <w:bottom w:val="none" w:sz="0" w:space="0" w:color="auto"/>
        <w:right w:val="none" w:sz="0" w:space="0" w:color="auto"/>
      </w:divBdr>
      <w:divsChild>
        <w:div w:id="17128262">
          <w:marLeft w:val="0"/>
          <w:marRight w:val="0"/>
          <w:marTop w:val="0"/>
          <w:marBottom w:val="0"/>
          <w:divBdr>
            <w:top w:val="none" w:sz="0" w:space="0" w:color="auto"/>
            <w:left w:val="none" w:sz="0" w:space="0" w:color="auto"/>
            <w:bottom w:val="none" w:sz="0" w:space="0" w:color="auto"/>
            <w:right w:val="none" w:sz="0" w:space="0" w:color="auto"/>
          </w:divBdr>
        </w:div>
      </w:divsChild>
    </w:div>
    <w:div w:id="509834075">
      <w:bodyDiv w:val="1"/>
      <w:marLeft w:val="0"/>
      <w:marRight w:val="0"/>
      <w:marTop w:val="0"/>
      <w:marBottom w:val="0"/>
      <w:divBdr>
        <w:top w:val="none" w:sz="0" w:space="0" w:color="auto"/>
        <w:left w:val="none" w:sz="0" w:space="0" w:color="auto"/>
        <w:bottom w:val="none" w:sz="0" w:space="0" w:color="auto"/>
        <w:right w:val="none" w:sz="0" w:space="0" w:color="auto"/>
      </w:divBdr>
      <w:divsChild>
        <w:div w:id="1748990675">
          <w:marLeft w:val="0"/>
          <w:marRight w:val="0"/>
          <w:marTop w:val="0"/>
          <w:marBottom w:val="0"/>
          <w:divBdr>
            <w:top w:val="none" w:sz="0" w:space="0" w:color="auto"/>
            <w:left w:val="none" w:sz="0" w:space="0" w:color="auto"/>
            <w:bottom w:val="none" w:sz="0" w:space="0" w:color="auto"/>
            <w:right w:val="none" w:sz="0" w:space="0" w:color="auto"/>
          </w:divBdr>
        </w:div>
      </w:divsChild>
    </w:div>
    <w:div w:id="517082581">
      <w:bodyDiv w:val="1"/>
      <w:marLeft w:val="0"/>
      <w:marRight w:val="0"/>
      <w:marTop w:val="0"/>
      <w:marBottom w:val="0"/>
      <w:divBdr>
        <w:top w:val="none" w:sz="0" w:space="0" w:color="auto"/>
        <w:left w:val="none" w:sz="0" w:space="0" w:color="auto"/>
        <w:bottom w:val="none" w:sz="0" w:space="0" w:color="auto"/>
        <w:right w:val="none" w:sz="0" w:space="0" w:color="auto"/>
      </w:divBdr>
      <w:divsChild>
        <w:div w:id="30887352">
          <w:marLeft w:val="0"/>
          <w:marRight w:val="0"/>
          <w:marTop w:val="0"/>
          <w:marBottom w:val="0"/>
          <w:divBdr>
            <w:top w:val="none" w:sz="0" w:space="0" w:color="auto"/>
            <w:left w:val="none" w:sz="0" w:space="0" w:color="auto"/>
            <w:bottom w:val="none" w:sz="0" w:space="0" w:color="auto"/>
            <w:right w:val="none" w:sz="0" w:space="0" w:color="auto"/>
          </w:divBdr>
        </w:div>
      </w:divsChild>
    </w:div>
    <w:div w:id="534775883">
      <w:bodyDiv w:val="1"/>
      <w:marLeft w:val="0"/>
      <w:marRight w:val="0"/>
      <w:marTop w:val="0"/>
      <w:marBottom w:val="0"/>
      <w:divBdr>
        <w:top w:val="none" w:sz="0" w:space="0" w:color="auto"/>
        <w:left w:val="none" w:sz="0" w:space="0" w:color="auto"/>
        <w:bottom w:val="none" w:sz="0" w:space="0" w:color="auto"/>
        <w:right w:val="none" w:sz="0" w:space="0" w:color="auto"/>
      </w:divBdr>
      <w:divsChild>
        <w:div w:id="1397317626">
          <w:marLeft w:val="0"/>
          <w:marRight w:val="0"/>
          <w:marTop w:val="0"/>
          <w:marBottom w:val="0"/>
          <w:divBdr>
            <w:top w:val="none" w:sz="0" w:space="0" w:color="auto"/>
            <w:left w:val="none" w:sz="0" w:space="0" w:color="auto"/>
            <w:bottom w:val="none" w:sz="0" w:space="0" w:color="auto"/>
            <w:right w:val="none" w:sz="0" w:space="0" w:color="auto"/>
          </w:divBdr>
        </w:div>
      </w:divsChild>
    </w:div>
    <w:div w:id="543298691">
      <w:bodyDiv w:val="1"/>
      <w:marLeft w:val="0"/>
      <w:marRight w:val="0"/>
      <w:marTop w:val="0"/>
      <w:marBottom w:val="0"/>
      <w:divBdr>
        <w:top w:val="none" w:sz="0" w:space="0" w:color="auto"/>
        <w:left w:val="none" w:sz="0" w:space="0" w:color="auto"/>
        <w:bottom w:val="none" w:sz="0" w:space="0" w:color="auto"/>
        <w:right w:val="none" w:sz="0" w:space="0" w:color="auto"/>
      </w:divBdr>
      <w:divsChild>
        <w:div w:id="1604915112">
          <w:marLeft w:val="0"/>
          <w:marRight w:val="0"/>
          <w:marTop w:val="0"/>
          <w:marBottom w:val="0"/>
          <w:divBdr>
            <w:top w:val="none" w:sz="0" w:space="0" w:color="auto"/>
            <w:left w:val="none" w:sz="0" w:space="0" w:color="auto"/>
            <w:bottom w:val="none" w:sz="0" w:space="0" w:color="auto"/>
            <w:right w:val="none" w:sz="0" w:space="0" w:color="auto"/>
          </w:divBdr>
        </w:div>
      </w:divsChild>
    </w:div>
    <w:div w:id="630094849">
      <w:bodyDiv w:val="1"/>
      <w:marLeft w:val="0"/>
      <w:marRight w:val="0"/>
      <w:marTop w:val="0"/>
      <w:marBottom w:val="0"/>
      <w:divBdr>
        <w:top w:val="none" w:sz="0" w:space="0" w:color="auto"/>
        <w:left w:val="none" w:sz="0" w:space="0" w:color="auto"/>
        <w:bottom w:val="none" w:sz="0" w:space="0" w:color="auto"/>
        <w:right w:val="none" w:sz="0" w:space="0" w:color="auto"/>
      </w:divBdr>
      <w:divsChild>
        <w:div w:id="1706977638">
          <w:marLeft w:val="0"/>
          <w:marRight w:val="0"/>
          <w:marTop w:val="0"/>
          <w:marBottom w:val="0"/>
          <w:divBdr>
            <w:top w:val="none" w:sz="0" w:space="0" w:color="auto"/>
            <w:left w:val="none" w:sz="0" w:space="0" w:color="auto"/>
            <w:bottom w:val="none" w:sz="0" w:space="0" w:color="auto"/>
            <w:right w:val="none" w:sz="0" w:space="0" w:color="auto"/>
          </w:divBdr>
          <w:divsChild>
            <w:div w:id="1197962494">
              <w:marLeft w:val="0"/>
              <w:marRight w:val="0"/>
              <w:marTop w:val="0"/>
              <w:marBottom w:val="0"/>
              <w:divBdr>
                <w:top w:val="none" w:sz="0" w:space="0" w:color="auto"/>
                <w:left w:val="none" w:sz="0" w:space="0" w:color="auto"/>
                <w:bottom w:val="none" w:sz="0" w:space="0" w:color="auto"/>
                <w:right w:val="none" w:sz="0" w:space="0" w:color="auto"/>
              </w:divBdr>
              <w:divsChild>
                <w:div w:id="995566973">
                  <w:marLeft w:val="0"/>
                  <w:marRight w:val="0"/>
                  <w:marTop w:val="0"/>
                  <w:marBottom w:val="0"/>
                  <w:divBdr>
                    <w:top w:val="none" w:sz="0" w:space="0" w:color="auto"/>
                    <w:left w:val="none" w:sz="0" w:space="0" w:color="auto"/>
                    <w:bottom w:val="none" w:sz="0" w:space="0" w:color="auto"/>
                    <w:right w:val="none" w:sz="0" w:space="0" w:color="auto"/>
                  </w:divBdr>
                  <w:divsChild>
                    <w:div w:id="20974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6866">
      <w:bodyDiv w:val="1"/>
      <w:marLeft w:val="0"/>
      <w:marRight w:val="0"/>
      <w:marTop w:val="0"/>
      <w:marBottom w:val="0"/>
      <w:divBdr>
        <w:top w:val="none" w:sz="0" w:space="0" w:color="auto"/>
        <w:left w:val="none" w:sz="0" w:space="0" w:color="auto"/>
        <w:bottom w:val="none" w:sz="0" w:space="0" w:color="auto"/>
        <w:right w:val="none" w:sz="0" w:space="0" w:color="auto"/>
      </w:divBdr>
      <w:divsChild>
        <w:div w:id="1466392497">
          <w:marLeft w:val="0"/>
          <w:marRight w:val="0"/>
          <w:marTop w:val="0"/>
          <w:marBottom w:val="0"/>
          <w:divBdr>
            <w:top w:val="none" w:sz="0" w:space="0" w:color="auto"/>
            <w:left w:val="none" w:sz="0" w:space="0" w:color="auto"/>
            <w:bottom w:val="none" w:sz="0" w:space="0" w:color="auto"/>
            <w:right w:val="none" w:sz="0" w:space="0" w:color="auto"/>
          </w:divBdr>
        </w:div>
      </w:divsChild>
    </w:div>
    <w:div w:id="783430130">
      <w:bodyDiv w:val="1"/>
      <w:marLeft w:val="0"/>
      <w:marRight w:val="0"/>
      <w:marTop w:val="0"/>
      <w:marBottom w:val="0"/>
      <w:divBdr>
        <w:top w:val="none" w:sz="0" w:space="0" w:color="auto"/>
        <w:left w:val="none" w:sz="0" w:space="0" w:color="auto"/>
        <w:bottom w:val="none" w:sz="0" w:space="0" w:color="auto"/>
        <w:right w:val="none" w:sz="0" w:space="0" w:color="auto"/>
      </w:divBdr>
      <w:divsChild>
        <w:div w:id="1964920065">
          <w:marLeft w:val="0"/>
          <w:marRight w:val="0"/>
          <w:marTop w:val="0"/>
          <w:marBottom w:val="0"/>
          <w:divBdr>
            <w:top w:val="none" w:sz="0" w:space="0" w:color="auto"/>
            <w:left w:val="none" w:sz="0" w:space="0" w:color="auto"/>
            <w:bottom w:val="none" w:sz="0" w:space="0" w:color="auto"/>
            <w:right w:val="none" w:sz="0" w:space="0" w:color="auto"/>
          </w:divBdr>
        </w:div>
      </w:divsChild>
    </w:div>
    <w:div w:id="1001470078">
      <w:bodyDiv w:val="1"/>
      <w:marLeft w:val="0"/>
      <w:marRight w:val="0"/>
      <w:marTop w:val="0"/>
      <w:marBottom w:val="0"/>
      <w:divBdr>
        <w:top w:val="none" w:sz="0" w:space="0" w:color="auto"/>
        <w:left w:val="none" w:sz="0" w:space="0" w:color="auto"/>
        <w:bottom w:val="none" w:sz="0" w:space="0" w:color="auto"/>
        <w:right w:val="none" w:sz="0" w:space="0" w:color="auto"/>
      </w:divBdr>
    </w:div>
    <w:div w:id="1012487061">
      <w:bodyDiv w:val="1"/>
      <w:marLeft w:val="0"/>
      <w:marRight w:val="0"/>
      <w:marTop w:val="0"/>
      <w:marBottom w:val="0"/>
      <w:divBdr>
        <w:top w:val="none" w:sz="0" w:space="0" w:color="auto"/>
        <w:left w:val="none" w:sz="0" w:space="0" w:color="auto"/>
        <w:bottom w:val="none" w:sz="0" w:space="0" w:color="auto"/>
        <w:right w:val="none" w:sz="0" w:space="0" w:color="auto"/>
      </w:divBdr>
      <w:divsChild>
        <w:div w:id="657614727">
          <w:marLeft w:val="0"/>
          <w:marRight w:val="0"/>
          <w:marTop w:val="0"/>
          <w:marBottom w:val="0"/>
          <w:divBdr>
            <w:top w:val="none" w:sz="0" w:space="0" w:color="auto"/>
            <w:left w:val="none" w:sz="0" w:space="0" w:color="auto"/>
            <w:bottom w:val="none" w:sz="0" w:space="0" w:color="auto"/>
            <w:right w:val="none" w:sz="0" w:space="0" w:color="auto"/>
          </w:divBdr>
        </w:div>
      </w:divsChild>
    </w:div>
    <w:div w:id="1050836785">
      <w:bodyDiv w:val="1"/>
      <w:marLeft w:val="0"/>
      <w:marRight w:val="0"/>
      <w:marTop w:val="0"/>
      <w:marBottom w:val="0"/>
      <w:divBdr>
        <w:top w:val="none" w:sz="0" w:space="0" w:color="auto"/>
        <w:left w:val="none" w:sz="0" w:space="0" w:color="auto"/>
        <w:bottom w:val="none" w:sz="0" w:space="0" w:color="auto"/>
        <w:right w:val="none" w:sz="0" w:space="0" w:color="auto"/>
      </w:divBdr>
      <w:divsChild>
        <w:div w:id="192498902">
          <w:marLeft w:val="0"/>
          <w:marRight w:val="0"/>
          <w:marTop w:val="0"/>
          <w:marBottom w:val="0"/>
          <w:divBdr>
            <w:top w:val="none" w:sz="0" w:space="0" w:color="auto"/>
            <w:left w:val="none" w:sz="0" w:space="0" w:color="auto"/>
            <w:bottom w:val="none" w:sz="0" w:space="0" w:color="auto"/>
            <w:right w:val="none" w:sz="0" w:space="0" w:color="auto"/>
          </w:divBdr>
          <w:divsChild>
            <w:div w:id="1932278748">
              <w:marLeft w:val="0"/>
              <w:marRight w:val="0"/>
              <w:marTop w:val="0"/>
              <w:marBottom w:val="0"/>
              <w:divBdr>
                <w:top w:val="none" w:sz="0" w:space="0" w:color="auto"/>
                <w:left w:val="none" w:sz="0" w:space="0" w:color="auto"/>
                <w:bottom w:val="none" w:sz="0" w:space="0" w:color="auto"/>
                <w:right w:val="none" w:sz="0" w:space="0" w:color="auto"/>
              </w:divBdr>
              <w:divsChild>
                <w:div w:id="883560939">
                  <w:marLeft w:val="0"/>
                  <w:marRight w:val="0"/>
                  <w:marTop w:val="0"/>
                  <w:marBottom w:val="0"/>
                  <w:divBdr>
                    <w:top w:val="none" w:sz="0" w:space="0" w:color="auto"/>
                    <w:left w:val="none" w:sz="0" w:space="0" w:color="auto"/>
                    <w:bottom w:val="none" w:sz="0" w:space="0" w:color="auto"/>
                    <w:right w:val="none" w:sz="0" w:space="0" w:color="auto"/>
                  </w:divBdr>
                  <w:divsChild>
                    <w:div w:id="1849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7042">
      <w:bodyDiv w:val="1"/>
      <w:marLeft w:val="0"/>
      <w:marRight w:val="0"/>
      <w:marTop w:val="0"/>
      <w:marBottom w:val="0"/>
      <w:divBdr>
        <w:top w:val="none" w:sz="0" w:space="0" w:color="auto"/>
        <w:left w:val="none" w:sz="0" w:space="0" w:color="auto"/>
        <w:bottom w:val="none" w:sz="0" w:space="0" w:color="auto"/>
        <w:right w:val="none" w:sz="0" w:space="0" w:color="auto"/>
      </w:divBdr>
      <w:divsChild>
        <w:div w:id="1192375241">
          <w:marLeft w:val="0"/>
          <w:marRight w:val="0"/>
          <w:marTop w:val="0"/>
          <w:marBottom w:val="0"/>
          <w:divBdr>
            <w:top w:val="none" w:sz="0" w:space="0" w:color="auto"/>
            <w:left w:val="none" w:sz="0" w:space="0" w:color="auto"/>
            <w:bottom w:val="none" w:sz="0" w:space="0" w:color="auto"/>
            <w:right w:val="none" w:sz="0" w:space="0" w:color="auto"/>
          </w:divBdr>
        </w:div>
      </w:divsChild>
    </w:div>
    <w:div w:id="1184826356">
      <w:bodyDiv w:val="1"/>
      <w:marLeft w:val="0"/>
      <w:marRight w:val="0"/>
      <w:marTop w:val="0"/>
      <w:marBottom w:val="0"/>
      <w:divBdr>
        <w:top w:val="none" w:sz="0" w:space="0" w:color="auto"/>
        <w:left w:val="none" w:sz="0" w:space="0" w:color="auto"/>
        <w:bottom w:val="none" w:sz="0" w:space="0" w:color="auto"/>
        <w:right w:val="none" w:sz="0" w:space="0" w:color="auto"/>
      </w:divBdr>
      <w:divsChild>
        <w:div w:id="1290744751">
          <w:marLeft w:val="0"/>
          <w:marRight w:val="0"/>
          <w:marTop w:val="0"/>
          <w:marBottom w:val="0"/>
          <w:divBdr>
            <w:top w:val="none" w:sz="0" w:space="0" w:color="auto"/>
            <w:left w:val="none" w:sz="0" w:space="0" w:color="auto"/>
            <w:bottom w:val="none" w:sz="0" w:space="0" w:color="auto"/>
            <w:right w:val="none" w:sz="0" w:space="0" w:color="auto"/>
          </w:divBdr>
        </w:div>
      </w:divsChild>
    </w:div>
    <w:div w:id="1220902470">
      <w:bodyDiv w:val="1"/>
      <w:marLeft w:val="0"/>
      <w:marRight w:val="0"/>
      <w:marTop w:val="0"/>
      <w:marBottom w:val="0"/>
      <w:divBdr>
        <w:top w:val="none" w:sz="0" w:space="0" w:color="auto"/>
        <w:left w:val="none" w:sz="0" w:space="0" w:color="auto"/>
        <w:bottom w:val="none" w:sz="0" w:space="0" w:color="auto"/>
        <w:right w:val="none" w:sz="0" w:space="0" w:color="auto"/>
      </w:divBdr>
      <w:divsChild>
        <w:div w:id="1786999167">
          <w:marLeft w:val="0"/>
          <w:marRight w:val="0"/>
          <w:marTop w:val="0"/>
          <w:marBottom w:val="0"/>
          <w:divBdr>
            <w:top w:val="none" w:sz="0" w:space="0" w:color="auto"/>
            <w:left w:val="none" w:sz="0" w:space="0" w:color="auto"/>
            <w:bottom w:val="none" w:sz="0" w:space="0" w:color="auto"/>
            <w:right w:val="none" w:sz="0" w:space="0" w:color="auto"/>
          </w:divBdr>
        </w:div>
      </w:divsChild>
    </w:div>
    <w:div w:id="1243905253">
      <w:bodyDiv w:val="1"/>
      <w:marLeft w:val="0"/>
      <w:marRight w:val="0"/>
      <w:marTop w:val="0"/>
      <w:marBottom w:val="0"/>
      <w:divBdr>
        <w:top w:val="none" w:sz="0" w:space="0" w:color="auto"/>
        <w:left w:val="none" w:sz="0" w:space="0" w:color="auto"/>
        <w:bottom w:val="none" w:sz="0" w:space="0" w:color="auto"/>
        <w:right w:val="none" w:sz="0" w:space="0" w:color="auto"/>
      </w:divBdr>
      <w:divsChild>
        <w:div w:id="1903441922">
          <w:marLeft w:val="0"/>
          <w:marRight w:val="0"/>
          <w:marTop w:val="0"/>
          <w:marBottom w:val="0"/>
          <w:divBdr>
            <w:top w:val="none" w:sz="0" w:space="0" w:color="auto"/>
            <w:left w:val="none" w:sz="0" w:space="0" w:color="auto"/>
            <w:bottom w:val="none" w:sz="0" w:space="0" w:color="auto"/>
            <w:right w:val="none" w:sz="0" w:space="0" w:color="auto"/>
          </w:divBdr>
        </w:div>
      </w:divsChild>
    </w:div>
    <w:div w:id="1299532335">
      <w:bodyDiv w:val="1"/>
      <w:marLeft w:val="0"/>
      <w:marRight w:val="0"/>
      <w:marTop w:val="0"/>
      <w:marBottom w:val="0"/>
      <w:divBdr>
        <w:top w:val="none" w:sz="0" w:space="0" w:color="auto"/>
        <w:left w:val="none" w:sz="0" w:space="0" w:color="auto"/>
        <w:bottom w:val="none" w:sz="0" w:space="0" w:color="auto"/>
        <w:right w:val="none" w:sz="0" w:space="0" w:color="auto"/>
      </w:divBdr>
      <w:divsChild>
        <w:div w:id="1294020059">
          <w:marLeft w:val="0"/>
          <w:marRight w:val="0"/>
          <w:marTop w:val="0"/>
          <w:marBottom w:val="0"/>
          <w:divBdr>
            <w:top w:val="none" w:sz="0" w:space="0" w:color="auto"/>
            <w:left w:val="none" w:sz="0" w:space="0" w:color="auto"/>
            <w:bottom w:val="none" w:sz="0" w:space="0" w:color="auto"/>
            <w:right w:val="none" w:sz="0" w:space="0" w:color="auto"/>
          </w:divBdr>
        </w:div>
      </w:divsChild>
    </w:div>
    <w:div w:id="1366364848">
      <w:bodyDiv w:val="1"/>
      <w:marLeft w:val="0"/>
      <w:marRight w:val="0"/>
      <w:marTop w:val="0"/>
      <w:marBottom w:val="0"/>
      <w:divBdr>
        <w:top w:val="none" w:sz="0" w:space="0" w:color="auto"/>
        <w:left w:val="none" w:sz="0" w:space="0" w:color="auto"/>
        <w:bottom w:val="none" w:sz="0" w:space="0" w:color="auto"/>
        <w:right w:val="none" w:sz="0" w:space="0" w:color="auto"/>
      </w:divBdr>
      <w:divsChild>
        <w:div w:id="271591018">
          <w:marLeft w:val="0"/>
          <w:marRight w:val="0"/>
          <w:marTop w:val="0"/>
          <w:marBottom w:val="0"/>
          <w:divBdr>
            <w:top w:val="none" w:sz="0" w:space="0" w:color="auto"/>
            <w:left w:val="none" w:sz="0" w:space="0" w:color="auto"/>
            <w:bottom w:val="none" w:sz="0" w:space="0" w:color="auto"/>
            <w:right w:val="none" w:sz="0" w:space="0" w:color="auto"/>
          </w:divBdr>
        </w:div>
      </w:divsChild>
    </w:div>
    <w:div w:id="1373190762">
      <w:bodyDiv w:val="1"/>
      <w:marLeft w:val="0"/>
      <w:marRight w:val="0"/>
      <w:marTop w:val="0"/>
      <w:marBottom w:val="0"/>
      <w:divBdr>
        <w:top w:val="none" w:sz="0" w:space="0" w:color="auto"/>
        <w:left w:val="none" w:sz="0" w:space="0" w:color="auto"/>
        <w:bottom w:val="none" w:sz="0" w:space="0" w:color="auto"/>
        <w:right w:val="none" w:sz="0" w:space="0" w:color="auto"/>
      </w:divBdr>
      <w:divsChild>
        <w:div w:id="718211778">
          <w:marLeft w:val="0"/>
          <w:marRight w:val="0"/>
          <w:marTop w:val="0"/>
          <w:marBottom w:val="0"/>
          <w:divBdr>
            <w:top w:val="none" w:sz="0" w:space="0" w:color="auto"/>
            <w:left w:val="none" w:sz="0" w:space="0" w:color="auto"/>
            <w:bottom w:val="none" w:sz="0" w:space="0" w:color="auto"/>
            <w:right w:val="none" w:sz="0" w:space="0" w:color="auto"/>
          </w:divBdr>
        </w:div>
      </w:divsChild>
    </w:div>
    <w:div w:id="1402631200">
      <w:bodyDiv w:val="1"/>
      <w:marLeft w:val="0"/>
      <w:marRight w:val="0"/>
      <w:marTop w:val="0"/>
      <w:marBottom w:val="0"/>
      <w:divBdr>
        <w:top w:val="none" w:sz="0" w:space="0" w:color="auto"/>
        <w:left w:val="none" w:sz="0" w:space="0" w:color="auto"/>
        <w:bottom w:val="none" w:sz="0" w:space="0" w:color="auto"/>
        <w:right w:val="none" w:sz="0" w:space="0" w:color="auto"/>
      </w:divBdr>
      <w:divsChild>
        <w:div w:id="942421802">
          <w:marLeft w:val="0"/>
          <w:marRight w:val="0"/>
          <w:marTop w:val="0"/>
          <w:marBottom w:val="0"/>
          <w:divBdr>
            <w:top w:val="none" w:sz="0" w:space="0" w:color="auto"/>
            <w:left w:val="none" w:sz="0" w:space="0" w:color="auto"/>
            <w:bottom w:val="none" w:sz="0" w:space="0" w:color="auto"/>
            <w:right w:val="none" w:sz="0" w:space="0" w:color="auto"/>
          </w:divBdr>
        </w:div>
      </w:divsChild>
    </w:div>
    <w:div w:id="1443645693">
      <w:bodyDiv w:val="1"/>
      <w:marLeft w:val="0"/>
      <w:marRight w:val="0"/>
      <w:marTop w:val="0"/>
      <w:marBottom w:val="0"/>
      <w:divBdr>
        <w:top w:val="none" w:sz="0" w:space="0" w:color="auto"/>
        <w:left w:val="none" w:sz="0" w:space="0" w:color="auto"/>
        <w:bottom w:val="none" w:sz="0" w:space="0" w:color="auto"/>
        <w:right w:val="none" w:sz="0" w:space="0" w:color="auto"/>
      </w:divBdr>
      <w:divsChild>
        <w:div w:id="360522520">
          <w:marLeft w:val="0"/>
          <w:marRight w:val="0"/>
          <w:marTop w:val="0"/>
          <w:marBottom w:val="0"/>
          <w:divBdr>
            <w:top w:val="none" w:sz="0" w:space="0" w:color="auto"/>
            <w:left w:val="none" w:sz="0" w:space="0" w:color="auto"/>
            <w:bottom w:val="none" w:sz="0" w:space="0" w:color="auto"/>
            <w:right w:val="none" w:sz="0" w:space="0" w:color="auto"/>
          </w:divBdr>
        </w:div>
      </w:divsChild>
    </w:div>
    <w:div w:id="1577477118">
      <w:bodyDiv w:val="1"/>
      <w:marLeft w:val="0"/>
      <w:marRight w:val="0"/>
      <w:marTop w:val="0"/>
      <w:marBottom w:val="0"/>
      <w:divBdr>
        <w:top w:val="none" w:sz="0" w:space="0" w:color="auto"/>
        <w:left w:val="none" w:sz="0" w:space="0" w:color="auto"/>
        <w:bottom w:val="none" w:sz="0" w:space="0" w:color="auto"/>
        <w:right w:val="none" w:sz="0" w:space="0" w:color="auto"/>
      </w:divBdr>
      <w:divsChild>
        <w:div w:id="621806568">
          <w:marLeft w:val="0"/>
          <w:marRight w:val="0"/>
          <w:marTop w:val="0"/>
          <w:marBottom w:val="0"/>
          <w:divBdr>
            <w:top w:val="none" w:sz="0" w:space="0" w:color="auto"/>
            <w:left w:val="none" w:sz="0" w:space="0" w:color="auto"/>
            <w:bottom w:val="none" w:sz="0" w:space="0" w:color="auto"/>
            <w:right w:val="none" w:sz="0" w:space="0" w:color="auto"/>
          </w:divBdr>
          <w:divsChild>
            <w:div w:id="928468328">
              <w:marLeft w:val="0"/>
              <w:marRight w:val="0"/>
              <w:marTop w:val="0"/>
              <w:marBottom w:val="0"/>
              <w:divBdr>
                <w:top w:val="none" w:sz="0" w:space="0" w:color="auto"/>
                <w:left w:val="none" w:sz="0" w:space="0" w:color="auto"/>
                <w:bottom w:val="none" w:sz="0" w:space="0" w:color="auto"/>
                <w:right w:val="none" w:sz="0" w:space="0" w:color="auto"/>
              </w:divBdr>
              <w:divsChild>
                <w:div w:id="582380516">
                  <w:marLeft w:val="0"/>
                  <w:marRight w:val="0"/>
                  <w:marTop w:val="0"/>
                  <w:marBottom w:val="0"/>
                  <w:divBdr>
                    <w:top w:val="none" w:sz="0" w:space="0" w:color="auto"/>
                    <w:left w:val="none" w:sz="0" w:space="0" w:color="auto"/>
                    <w:bottom w:val="none" w:sz="0" w:space="0" w:color="auto"/>
                    <w:right w:val="none" w:sz="0" w:space="0" w:color="auto"/>
                  </w:divBdr>
                  <w:divsChild>
                    <w:div w:id="6810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97025">
      <w:bodyDiv w:val="1"/>
      <w:marLeft w:val="0"/>
      <w:marRight w:val="0"/>
      <w:marTop w:val="0"/>
      <w:marBottom w:val="0"/>
      <w:divBdr>
        <w:top w:val="none" w:sz="0" w:space="0" w:color="auto"/>
        <w:left w:val="none" w:sz="0" w:space="0" w:color="auto"/>
        <w:bottom w:val="none" w:sz="0" w:space="0" w:color="auto"/>
        <w:right w:val="none" w:sz="0" w:space="0" w:color="auto"/>
      </w:divBdr>
      <w:divsChild>
        <w:div w:id="767585587">
          <w:marLeft w:val="0"/>
          <w:marRight w:val="0"/>
          <w:marTop w:val="0"/>
          <w:marBottom w:val="0"/>
          <w:divBdr>
            <w:top w:val="none" w:sz="0" w:space="0" w:color="auto"/>
            <w:left w:val="none" w:sz="0" w:space="0" w:color="auto"/>
            <w:bottom w:val="none" w:sz="0" w:space="0" w:color="auto"/>
            <w:right w:val="none" w:sz="0" w:space="0" w:color="auto"/>
          </w:divBdr>
        </w:div>
      </w:divsChild>
    </w:div>
    <w:div w:id="1605187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9672">
          <w:marLeft w:val="0"/>
          <w:marRight w:val="0"/>
          <w:marTop w:val="0"/>
          <w:marBottom w:val="0"/>
          <w:divBdr>
            <w:top w:val="none" w:sz="0" w:space="0" w:color="auto"/>
            <w:left w:val="none" w:sz="0" w:space="0" w:color="auto"/>
            <w:bottom w:val="none" w:sz="0" w:space="0" w:color="auto"/>
            <w:right w:val="none" w:sz="0" w:space="0" w:color="auto"/>
          </w:divBdr>
        </w:div>
      </w:divsChild>
    </w:div>
    <w:div w:id="1640038670">
      <w:bodyDiv w:val="1"/>
      <w:marLeft w:val="0"/>
      <w:marRight w:val="0"/>
      <w:marTop w:val="0"/>
      <w:marBottom w:val="0"/>
      <w:divBdr>
        <w:top w:val="none" w:sz="0" w:space="0" w:color="auto"/>
        <w:left w:val="none" w:sz="0" w:space="0" w:color="auto"/>
        <w:bottom w:val="none" w:sz="0" w:space="0" w:color="auto"/>
        <w:right w:val="none" w:sz="0" w:space="0" w:color="auto"/>
      </w:divBdr>
      <w:divsChild>
        <w:div w:id="1378777209">
          <w:marLeft w:val="0"/>
          <w:marRight w:val="0"/>
          <w:marTop w:val="0"/>
          <w:marBottom w:val="0"/>
          <w:divBdr>
            <w:top w:val="none" w:sz="0" w:space="0" w:color="auto"/>
            <w:left w:val="none" w:sz="0" w:space="0" w:color="auto"/>
            <w:bottom w:val="none" w:sz="0" w:space="0" w:color="auto"/>
            <w:right w:val="none" w:sz="0" w:space="0" w:color="auto"/>
          </w:divBdr>
          <w:divsChild>
            <w:div w:id="45883807">
              <w:marLeft w:val="0"/>
              <w:marRight w:val="0"/>
              <w:marTop w:val="0"/>
              <w:marBottom w:val="0"/>
              <w:divBdr>
                <w:top w:val="none" w:sz="0" w:space="0" w:color="auto"/>
                <w:left w:val="none" w:sz="0" w:space="0" w:color="auto"/>
                <w:bottom w:val="none" w:sz="0" w:space="0" w:color="auto"/>
                <w:right w:val="none" w:sz="0" w:space="0" w:color="auto"/>
              </w:divBdr>
              <w:divsChild>
                <w:div w:id="1990137307">
                  <w:marLeft w:val="0"/>
                  <w:marRight w:val="0"/>
                  <w:marTop w:val="0"/>
                  <w:marBottom w:val="0"/>
                  <w:divBdr>
                    <w:top w:val="none" w:sz="0" w:space="0" w:color="auto"/>
                    <w:left w:val="none" w:sz="0" w:space="0" w:color="auto"/>
                    <w:bottom w:val="none" w:sz="0" w:space="0" w:color="auto"/>
                    <w:right w:val="none" w:sz="0" w:space="0" w:color="auto"/>
                  </w:divBdr>
                  <w:divsChild>
                    <w:div w:id="20264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60042">
      <w:bodyDiv w:val="1"/>
      <w:marLeft w:val="0"/>
      <w:marRight w:val="0"/>
      <w:marTop w:val="0"/>
      <w:marBottom w:val="0"/>
      <w:divBdr>
        <w:top w:val="none" w:sz="0" w:space="0" w:color="auto"/>
        <w:left w:val="none" w:sz="0" w:space="0" w:color="auto"/>
        <w:bottom w:val="none" w:sz="0" w:space="0" w:color="auto"/>
        <w:right w:val="none" w:sz="0" w:space="0" w:color="auto"/>
      </w:divBdr>
      <w:divsChild>
        <w:div w:id="1196582892">
          <w:marLeft w:val="0"/>
          <w:marRight w:val="0"/>
          <w:marTop w:val="0"/>
          <w:marBottom w:val="0"/>
          <w:divBdr>
            <w:top w:val="none" w:sz="0" w:space="0" w:color="auto"/>
            <w:left w:val="none" w:sz="0" w:space="0" w:color="auto"/>
            <w:bottom w:val="none" w:sz="0" w:space="0" w:color="auto"/>
            <w:right w:val="none" w:sz="0" w:space="0" w:color="auto"/>
          </w:divBdr>
        </w:div>
      </w:divsChild>
    </w:div>
    <w:div w:id="1698463232">
      <w:bodyDiv w:val="1"/>
      <w:marLeft w:val="0"/>
      <w:marRight w:val="0"/>
      <w:marTop w:val="0"/>
      <w:marBottom w:val="0"/>
      <w:divBdr>
        <w:top w:val="none" w:sz="0" w:space="0" w:color="auto"/>
        <w:left w:val="none" w:sz="0" w:space="0" w:color="auto"/>
        <w:bottom w:val="none" w:sz="0" w:space="0" w:color="auto"/>
        <w:right w:val="none" w:sz="0" w:space="0" w:color="auto"/>
      </w:divBdr>
    </w:div>
    <w:div w:id="1817719764">
      <w:bodyDiv w:val="1"/>
      <w:marLeft w:val="0"/>
      <w:marRight w:val="0"/>
      <w:marTop w:val="0"/>
      <w:marBottom w:val="0"/>
      <w:divBdr>
        <w:top w:val="none" w:sz="0" w:space="0" w:color="auto"/>
        <w:left w:val="none" w:sz="0" w:space="0" w:color="auto"/>
        <w:bottom w:val="none" w:sz="0" w:space="0" w:color="auto"/>
        <w:right w:val="none" w:sz="0" w:space="0" w:color="auto"/>
      </w:divBdr>
      <w:divsChild>
        <w:div w:id="443771337">
          <w:marLeft w:val="0"/>
          <w:marRight w:val="0"/>
          <w:marTop w:val="0"/>
          <w:marBottom w:val="0"/>
          <w:divBdr>
            <w:top w:val="none" w:sz="0" w:space="0" w:color="auto"/>
            <w:left w:val="none" w:sz="0" w:space="0" w:color="auto"/>
            <w:bottom w:val="none" w:sz="0" w:space="0" w:color="auto"/>
            <w:right w:val="none" w:sz="0" w:space="0" w:color="auto"/>
          </w:divBdr>
        </w:div>
      </w:divsChild>
    </w:div>
    <w:div w:id="2006929063">
      <w:bodyDiv w:val="1"/>
      <w:marLeft w:val="0"/>
      <w:marRight w:val="0"/>
      <w:marTop w:val="0"/>
      <w:marBottom w:val="0"/>
      <w:divBdr>
        <w:top w:val="none" w:sz="0" w:space="0" w:color="auto"/>
        <w:left w:val="none" w:sz="0" w:space="0" w:color="auto"/>
        <w:bottom w:val="none" w:sz="0" w:space="0" w:color="auto"/>
        <w:right w:val="none" w:sz="0" w:space="0" w:color="auto"/>
      </w:divBdr>
      <w:divsChild>
        <w:div w:id="1851679801">
          <w:marLeft w:val="0"/>
          <w:marRight w:val="0"/>
          <w:marTop w:val="0"/>
          <w:marBottom w:val="0"/>
          <w:divBdr>
            <w:top w:val="none" w:sz="0" w:space="0" w:color="auto"/>
            <w:left w:val="none" w:sz="0" w:space="0" w:color="auto"/>
            <w:bottom w:val="none" w:sz="0" w:space="0" w:color="auto"/>
            <w:right w:val="none" w:sz="0" w:space="0" w:color="auto"/>
          </w:divBdr>
        </w:div>
      </w:divsChild>
    </w:div>
    <w:div w:id="2028094957">
      <w:bodyDiv w:val="1"/>
      <w:marLeft w:val="0"/>
      <w:marRight w:val="0"/>
      <w:marTop w:val="0"/>
      <w:marBottom w:val="0"/>
      <w:divBdr>
        <w:top w:val="none" w:sz="0" w:space="0" w:color="auto"/>
        <w:left w:val="none" w:sz="0" w:space="0" w:color="auto"/>
        <w:bottom w:val="none" w:sz="0" w:space="0" w:color="auto"/>
        <w:right w:val="none" w:sz="0" w:space="0" w:color="auto"/>
      </w:divBdr>
      <w:divsChild>
        <w:div w:id="38360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list.disclosureanalytics.deloitte.com/login.html" TargetMode="External"/><Relationship Id="rId13" Type="http://schemas.openxmlformats.org/officeDocument/2006/relationships/hyperlink" Target="https://www.fasb.org/Page/ShowPdf?path=ASU%202022-02.pdf&amp;title=Accounting%20Standards%20Update%202022-02%E2%80%94Financial%20Instruments%E2%80%94Credit%20Losses%20(Topic%20326):%20Troubled%20Debt%20Restructurings%20and%20Vintage%20Disclosures&amp;acceptedDisclaimer=true&amp;IsIOS=false&amp;Subm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rt.deloitte.com/USDART/home/publications/deloitte/heads-up/2022/fasb-issues-asc-326-updat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sb.org/Page/ShowPdf?path=ASU%202022-02.pdf&amp;title=Accounting%20Standards%20Update%202022-02%E2%80%94Financial%20Instruments%E2%80%94Credit%20Losses%20(Topic%20326):%20Troubled%20Debt%20Restructurings%20and%20Vintage%20Disclosures&amp;acceptedDisclaimer=true&amp;IsIOS=false&amp;Submit=" TargetMode="External"/><Relationship Id="rId5" Type="http://schemas.openxmlformats.org/officeDocument/2006/relationships/webSettings" Target="webSettings.xml"/><Relationship Id="rId15" Type="http://schemas.openxmlformats.org/officeDocument/2006/relationships/hyperlink" Target="http://www.deloitte.com/about" TargetMode="External"/><Relationship Id="rId10" Type="http://schemas.openxmlformats.org/officeDocument/2006/relationships/hyperlink" Target="https://checklist.disclosureanalytics.deloitte.com/helpDocs/quickref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sb.org/Page/ShowPdf?path=ASU%202022-02.pdf&amp;title=Accounting%20Standards%20Update%202022-02%E2%80%94Financial%20Instruments%E2%80%94Credit%20Losses%20(Topic%20326):%20Troubled%20Debt%20Restructurings%20and%20Vintage%20Disclosures&amp;acceptedDisclaimer=true&amp;IsIOS=false&amp;Submit="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9B726-ADCD-43E0-9772-BEFA75A2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Pisano, Grace</cp:lastModifiedBy>
  <cp:revision>2</cp:revision>
  <cp:lastPrinted>2017-01-18T14:08:00Z</cp:lastPrinted>
  <dcterms:created xsi:type="dcterms:W3CDTF">2024-04-26T17:00:00Z</dcterms:created>
  <dcterms:modified xsi:type="dcterms:W3CDTF">2024-04-26T17:00:00Z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2021-12-20T07:11:40Z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200ffee1-7db2-4423-9156-bd1e9964d60e</vt:lpwstr>
  </property>
  <property fmtid="{D5CDD505-2E9C-101B-9397-08002B2CF9AE}" pid="8" name="MSIP_Label_ea60d57e-af5b-4752-ac57-3e4f28ca11dc_ContentBits">
    <vt:lpwstr>0</vt:lpwstr>
  </property>
</Properties>
</file>